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footer21.xml" ContentType="application/vnd.openxmlformats-officedocument.wordprocessingml.footer+xml"/>
  <Override PartName="/word/footer12.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6.xml" ContentType="application/vnd.openxmlformats-officedocument.wordprocessingml.footer+xml"/>
  <Override PartName="/word/numbering.xml" ContentType="application/vnd.openxmlformats-officedocument.wordprocessingml.numbering+xml"/>
  <Override PartName="/word/footer20.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footer2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theme/theme1.xml" ContentType="application/vnd.openxmlformats-officedocument.theme+xml"/>
  <Override PartName="/word/header18.xml" ContentType="application/vnd.openxmlformats-officedocument.wordprocessingml.header+xml"/>
  <Override PartName="/word/footer19.xml" ContentType="application/vnd.openxmlformats-officedocument.wordprocessingml.footer+xml"/>
  <Override PartName="/word/settings.xml" ContentType="application/vnd.openxmlformats-officedocument.wordprocessingml.settings+xml"/>
  <Override PartName="/word/header20.xml" ContentType="application/vnd.openxmlformats-officedocument.wordprocessingml.header+xml"/>
  <Override PartName="/word/header21.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eastAsia="pt-BR"/>
        </w:rPr>
      </w:pPr>
      <w:r>
        <w:rPr/>
        <w:drawing>
          <wp:inline distT="0" distB="0" distL="0" distR="0">
            <wp:extent cx="2047875" cy="1543050"/>
            <wp:effectExtent l="0" t="0" r="0" b="0"/>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5"/>
                    <pic:cNvPicPr>
                      <a:picLocks noChangeAspect="1" noChangeArrowheads="1"/>
                    </pic:cNvPicPr>
                  </pic:nvPicPr>
                  <pic:blipFill>
                    <a:blip r:embed="rId2"/>
                    <a:stretch>
                      <a:fillRect/>
                    </a:stretch>
                  </pic:blipFill>
                  <pic:spPr bwMode="auto">
                    <a:xfrm>
                      <a:off x="0" y="0"/>
                      <a:ext cx="2047875" cy="1543050"/>
                    </a:xfrm>
                    <a:prstGeom prst="rect">
                      <a:avLst/>
                    </a:prstGeom>
                    <a:noFill/>
                  </pic:spPr>
                </pic:pic>
              </a:graphicData>
            </a:graphic>
          </wp:inline>
        </w:drawing>
      </w:r>
    </w:p>
    <w:p>
      <w:pPr>
        <w:pStyle w:val="Normal"/>
        <w:jc w:val="center"/>
        <w:rPr>
          <w:lang w:eastAsia="pt-BR"/>
        </w:rPr>
      </w:pPr>
      <w:r>
        <w:rPr>
          <w:lang w:eastAsia="pt-BR"/>
        </w:rPr>
      </w:r>
    </w:p>
    <w:p>
      <w:pPr>
        <w:pStyle w:val="Normal"/>
        <w:spacing w:lineRule="auto" w:line="240" w:before="0" w:after="0"/>
        <w:ind w:start="-426"/>
        <w:jc w:val="center"/>
        <w:rPr>
          <w:rFonts w:ascii="Arial" w:hAnsi="Arial" w:cs="Arial"/>
          <w:b/>
          <w:color w:val="636B3E"/>
          <w:sz w:val="96"/>
          <w:szCs w:val="96"/>
        </w:rPr>
      </w:pPr>
      <w:r>
        <w:rPr>
          <w:rFonts w:cs="Arial" w:ascii="Arial" w:hAnsi="Arial"/>
          <w:b/>
          <w:color w:val="636B3E"/>
          <w:sz w:val="96"/>
          <w:szCs w:val="96"/>
        </w:rPr>
      </w:r>
    </w:p>
    <w:p>
      <w:pPr>
        <w:pStyle w:val="Normal"/>
        <w:spacing w:lineRule="auto" w:line="240" w:before="0" w:after="0"/>
        <w:ind w:start="-426"/>
        <w:jc w:val="center"/>
        <w:rPr>
          <w:rFonts w:ascii="Arial" w:hAnsi="Arial" w:cs="Arial"/>
          <w:b/>
          <w:color w:val="636B3E"/>
          <w:sz w:val="96"/>
          <w:szCs w:val="96"/>
        </w:rPr>
      </w:pPr>
      <w:r>
        <w:rPr>
          <w:rFonts w:cs="Arial" w:ascii="Arial" w:hAnsi="Arial"/>
          <w:b/>
          <w:color w:val="636B3E"/>
          <w:sz w:val="96"/>
          <w:szCs w:val="96"/>
        </w:rPr>
        <w:t>DEMONSTRAÇÕES CONTÁBEIS E NOTAS EXPLICATIVAS</w:t>
      </w:r>
    </w:p>
    <w:p>
      <w:pPr>
        <w:pStyle w:val="Normal"/>
        <w:spacing w:lineRule="auto" w:line="240" w:before="0" w:after="0"/>
        <w:jc w:val="center"/>
        <w:rPr>
          <w:rFonts w:ascii="Arial" w:hAnsi="Arial" w:cs="Arial"/>
          <w:b/>
          <w:color w:val="636B3E"/>
          <w:sz w:val="96"/>
          <w:szCs w:val="96"/>
        </w:rPr>
      </w:pPr>
      <w:r>
        <w:rPr>
          <w:rFonts w:cs="Arial" w:ascii="Arial" w:hAnsi="Arial"/>
          <w:b/>
          <w:color w:val="636B3E"/>
          <w:sz w:val="96"/>
          <w:szCs w:val="96"/>
        </w:rPr>
        <w:t>1º TRIMESTRE DE 2026</w:t>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r>
    </w:p>
    <w:p>
      <w:pPr>
        <w:pStyle w:val="Normal"/>
        <w:spacing w:lineRule="auto" w:line="240" w:before="0" w:after="0"/>
        <w:jc w:val="center"/>
        <w:rPr>
          <w:rFonts w:ascii="Times New Roman" w:hAnsi="Times New Roman" w:cs="Times New Roman"/>
          <w:b/>
          <w:i/>
          <w:sz w:val="20"/>
          <w:szCs w:val="20"/>
        </w:rPr>
      </w:pPr>
      <w:r>
        <w:rPr>
          <w:rFonts w:cs="Times New Roman" w:ascii="Times New Roman" w:hAnsi="Times New Roman"/>
          <w:b/>
          <w:i/>
          <w:sz w:val="20"/>
          <w:szCs w:val="20"/>
        </w:rPr>
        <w:t>IMBEL® - CAPACIDADES QUE GERAM PODER DE COMBATE</w:t>
      </w:r>
    </w:p>
    <w:tbl>
      <w:tblPr>
        <w:tblStyle w:val="Tabelacomgrade"/>
        <w:tblpPr w:vertAnchor="text" w:horzAnchor="margin" w:tblpXSpec="center" w:leftFromText="141" w:rightFromText="141" w:tblpY="106"/>
        <w:tblW w:w="2377"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745"/>
        <w:gridCol w:w="632"/>
      </w:tblGrid>
      <w:tr>
        <w:trPr>
          <w:trHeight w:val="317" w:hRule="atLeast"/>
        </w:trPr>
        <w:tc>
          <w:tcPr>
            <w:tcW w:w="1745" w:type="dxa"/>
            <w:tcBorders>
              <w:top w:val="nil"/>
              <w:start w:val="nil"/>
              <w:bottom w:val="nil"/>
              <w:end w:val="nil"/>
            </w:tcBorders>
            <w:vAlign w:val="center"/>
          </w:tcPr>
          <w:p>
            <w:pPr>
              <w:pStyle w:val="Footer"/>
              <w:widowControl/>
              <w:spacing w:before="0" w:after="0"/>
              <w:jc w:val="center"/>
              <w:rPr>
                <w:rFonts w:ascii="Arial" w:hAnsi="Arial" w:cs="Arial"/>
                <w:b/>
                <w:sz w:val="18"/>
              </w:rPr>
            </w:pPr>
            <w:r>
              <w:rPr>
                <w:rFonts w:eastAsia="Calibri" w:cs="Arial" w:ascii="Arial" w:hAnsi="Arial"/>
                <w:b/>
                <w:kern w:val="0"/>
                <w:sz w:val="18"/>
                <w:szCs w:val="22"/>
                <w:lang w:val="pt-BR" w:eastAsia="en-US" w:bidi="ar-SA"/>
              </w:rPr>
              <w:t>www.imbel.gov.br</w:t>
            </w:r>
          </w:p>
        </w:tc>
        <w:tc>
          <w:tcPr>
            <w:tcW w:w="632" w:type="dxa"/>
            <w:tcBorders>
              <w:top w:val="nil"/>
              <w:start w:val="nil"/>
              <w:bottom w:val="nil"/>
              <w:end w:val="nil"/>
            </w:tcBorders>
            <w:vAlign w:val="center"/>
          </w:tcPr>
          <w:p>
            <w:pPr>
              <w:pStyle w:val="Footer"/>
              <w:widowControl/>
              <w:spacing w:before="0" w:after="0"/>
              <w:jc w:val="start"/>
              <w:rPr>
                <w:rFonts w:ascii="Calibri" w:hAnsi="Calibri" w:eastAsia="Calibri" w:cs=""/>
                <w:kern w:val="0"/>
                <w:sz w:val="22"/>
                <w:szCs w:val="22"/>
                <w:lang w:val="pt-BR" w:eastAsia="en-US" w:bidi="ar-SA"/>
              </w:rPr>
            </w:pPr>
            <w:r>
              <w:rPr>
                <w:rFonts w:eastAsia="Calibri" w:cs=""/>
                <w:kern w:val="0"/>
                <w:sz w:val="22"/>
                <w:szCs w:val="22"/>
                <w:lang w:val="pt-BR" w:eastAsia="en-US" w:bidi="ar-SA"/>
              </w:rPr>
              <w:drawing>
                <wp:inline distT="0" distB="0" distL="0" distR="0">
                  <wp:extent cx="247015" cy="173355"/>
                  <wp:effectExtent l="0" t="0" r="0" b="0"/>
                  <wp:docPr id="2"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04" descr="Ativo 10.png"/>
                          <pic:cNvPicPr>
                            <a:picLocks noChangeAspect="1" noChangeArrowheads="1"/>
                          </pic:cNvPicPr>
                        </pic:nvPicPr>
                        <pic:blipFill>
                          <a:blip r:embed="rId3"/>
                          <a:stretch>
                            <a:fillRect/>
                          </a:stretch>
                        </pic:blipFill>
                        <pic:spPr bwMode="auto">
                          <a:xfrm>
                            <a:off x="0" y="0"/>
                            <a:ext cx="247015" cy="173355"/>
                          </a:xfrm>
                          <a:prstGeom prst="rect">
                            <a:avLst/>
                          </a:prstGeom>
                          <a:noFill/>
                        </pic:spPr>
                      </pic:pic>
                    </a:graphicData>
                  </a:graphic>
                </wp:inline>
              </w:drawing>
            </w:r>
          </w:p>
        </w:tc>
      </w:tr>
    </w:tbl>
    <w:p>
      <w:pPr>
        <w:pStyle w:val="Normal"/>
        <w:spacing w:lineRule="auto" w:line="240" w:before="0" w:after="0"/>
        <w:jc w:val="center"/>
        <w:rPr>
          <w:rFonts w:ascii="Arial" w:hAnsi="Arial" w:cs="Arial"/>
          <w:b/>
          <w:color w:val="636B3E"/>
          <w:sz w:val="96"/>
          <w:szCs w:val="96"/>
        </w:r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720" w:right="720" w:gutter="0" w:header="709" w:top="766" w:footer="113" w:bottom="720"/>
          <w:pgNumType w:start="1" w:fmt="decimal"/>
          <w:formProt w:val="false"/>
          <w:titlePg/>
          <w:textDirection w:val="lrTb"/>
          <w:docGrid w:type="default" w:linePitch="360" w:charSpace="0"/>
        </w:sectPr>
      </w:pPr>
      <w:r>
        <w:rPr>
          <w:rFonts w:cs="Arial" w:ascii="Arial" w:hAnsi="Arial"/>
          <w:b/>
          <w:color w:val="636B3E"/>
          <w:sz w:val="96"/>
          <w:szCs w:val="96"/>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Conteúdo</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tbl>
      <w:tblPr>
        <w:tblStyle w:val="Tabelacomgrade"/>
        <w:tblW w:w="9761" w:type="dxa"/>
        <w:jc w:val="start"/>
        <w:tblInd w:w="0" w:type="dxa"/>
        <w:tblLayout w:type="fixed"/>
        <w:tblCellMar>
          <w:top w:w="57" w:type="dxa"/>
          <w:start w:w="57" w:type="dxa"/>
          <w:bottom w:w="57" w:type="dxa"/>
          <w:end w:w="57" w:type="dxa"/>
        </w:tblCellMar>
        <w:tblLook w:firstRow="1" w:noVBand="1" w:lastRow="0" w:firstColumn="1" w:lastColumn="0" w:noHBand="0" w:val="04a0"/>
      </w:tblPr>
      <w:tblGrid>
        <w:gridCol w:w="8359"/>
        <w:gridCol w:w="701"/>
        <w:gridCol w:w="701"/>
      </w:tblGrid>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1. BALANÇO PATRIMONIAL</w:t>
            </w:r>
            <w:r>
              <w:fldChar w:fldCharType="begin"/>
            </w:r>
            <w:r>
              <w:rPr>
                <w:rFonts w:eastAsia="Calibri" w:cs="Times New Roman" w:ascii="Times New Roman" w:hAnsi="Times New Roman"/>
                <w:kern w:val="0"/>
                <w:sz w:val="16"/>
                <w:szCs w:val="16"/>
                <w:lang w:val="pt-BR" w:eastAsia="en-US" w:bidi="ar-SA"/>
              </w:rPr>
              <w:instrText xml:space="preserve"> XE "1. BALANÇO PATRIMONIAL: " </w:instrText>
            </w:r>
            <w:r>
              <w:rPr>
                <w:rFonts w:eastAsia="Calibri" w:cs="Times New Roman" w:ascii="Times New Roman" w:hAnsi="Times New Roman"/>
                <w:kern w:val="0"/>
                <w:sz w:val="16"/>
                <w:szCs w:val="16"/>
                <w:lang w:val="pt-BR" w:eastAsia="en-US" w:bidi="ar-SA"/>
              </w:rPr>
              <w:fldChar w:fldCharType="separate"/>
            </w:r>
            <w:r>
              <w:rPr>
                <w:rFonts w:eastAsia="Calibri" w:cs="Times New Roman" w:ascii="Times New Roman" w:hAnsi="Times New Roman"/>
                <w:kern w:val="0"/>
                <w:sz w:val="16"/>
                <w:szCs w:val="16"/>
                <w:lang w:val="pt-BR" w:eastAsia="en-US" w:bidi="ar-SA"/>
              </w:rPr>
            </w:r>
            <w:r>
              <w:rPr>
                <w:rFonts w:eastAsia="Calibri" w:cs="Times New Roman" w:ascii="Times New Roman" w:hAnsi="Times New Roman"/>
                <w:kern w:val="0"/>
                <w:sz w:val="16"/>
                <w:szCs w:val="16"/>
                <w:lang w:val="pt-BR" w:eastAsia="en-US" w:bidi="ar-SA"/>
              </w:rPr>
              <w:fldChar w:fldCharType="end"/>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03</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 DEMONSTRAÇÃO DO RESULTADO</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04</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 DEMONSTRAÇÃO DAS MUTAÇÕES DO PATRIMÔNIO LÍQUIDO</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05</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4. DEMONSTRAÇÃO DO FLUXO DE CAIXA - MÉTODO INDIRETO</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06</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5. DEMONSTRAÇÃO DO VALOR ADICIONADO</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07</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6. DEMONSTRAÇÃO DO RESULTADO ABRANGENTE</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08</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7. NOTAS EXPLICATIVAS ÀS DEMONSTRAÇÕES CONTÁBEIS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09</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8. SUMÁRIO DAS PRINCIPAIS PRÁTICAS CONTÁBEIS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10</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9. DISPONIBILIDADES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16</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10. CLIENTES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16</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11. ESTOQUES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18</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12. IMPOSTOS A RECUPERAR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19</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tabs>
                <w:tab w:val="clear" w:pos="907"/>
                <w:tab w:val="left" w:pos="2850" w:leader="none"/>
              </w:tabs>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13. DESPESAS ANTECIPADAS </w:t>
              <w:tab/>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19</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14. OUTROS CRÉDITOS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19</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15. INVESTIMENTOS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20</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16. IMOBILIZADO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21</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17. INTANGÍVEL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22</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18. FORNECEDORES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22</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19. OBRIGAÇÕES TRABALHISTAS, TRIBUTÁRIAS E CONTRIBUIÇÕES</w:t>
            </w:r>
          </w:p>
          <w:p>
            <w:pPr>
              <w:pStyle w:val="Normal"/>
              <w:widowControl/>
              <w:spacing w:lineRule="auto" w:line="240" w:before="0" w:after="0"/>
              <w:jc w:val="start"/>
              <w:rPr>
                <w:rFonts w:ascii="Times New Roman" w:hAnsi="Times New Roman" w:cs="Times New Roman"/>
                <w:sz w:val="8"/>
                <w:szCs w:val="8"/>
              </w:rPr>
            </w:pPr>
            <w:r>
              <w:rPr>
                <w:rFonts w:eastAsia="Calibri" w:cs="Times New Roman" w:ascii="Times New Roman" w:hAnsi="Times New Roman"/>
                <w:kern w:val="0"/>
                <w:sz w:val="8"/>
                <w:szCs w:val="8"/>
                <w:lang w:val="pt-BR" w:eastAsia="en-US" w:bidi="ar-SA"/>
              </w:rPr>
            </w:r>
          </w:p>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20. RECEITA ORÇAMENTÁRIA A REALIZAR</w:t>
            </w:r>
          </w:p>
        </w:tc>
        <w:tc>
          <w:tcPr>
            <w:tcW w:w="701"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23</w:t>
            </w:r>
          </w:p>
          <w:p>
            <w:pPr>
              <w:pStyle w:val="Normal"/>
              <w:widowControl/>
              <w:spacing w:lineRule="auto" w:line="240" w:before="0" w:after="0"/>
              <w:jc w:val="center"/>
              <w:rPr>
                <w:rFonts w:ascii="Times New Roman" w:hAnsi="Times New Roman" w:cs="Times New Roman"/>
                <w:b/>
                <w:sz w:val="8"/>
                <w:szCs w:val="8"/>
              </w:rPr>
            </w:pPr>
            <w:r>
              <w:rPr>
                <w:rFonts w:eastAsia="Calibri" w:cs="Times New Roman" w:ascii="Times New Roman" w:hAnsi="Times New Roman"/>
                <w:b/>
                <w:kern w:val="0"/>
                <w:sz w:val="8"/>
                <w:szCs w:val="8"/>
                <w:lang w:val="pt-BR" w:eastAsia="en-US" w:bidi="ar-SA"/>
              </w:rPr>
            </w:r>
          </w:p>
          <w:p>
            <w:pPr>
              <w:pStyle w:val="Normal"/>
              <w:widowControl/>
              <w:spacing w:lineRule="auto" w:line="240" w:before="0" w:after="0"/>
              <w:jc w:val="center"/>
              <w:rPr>
                <w:rFonts w:ascii="Times New Roman" w:hAnsi="Times New Roman" w:cs="Times New Roman"/>
                <w:sz w:val="16"/>
                <w:szCs w:val="16"/>
              </w:rPr>
            </w:pPr>
            <w:r>
              <w:rPr>
                <w:rFonts w:eastAsia="Calibri" w:cs="Times New Roman" w:ascii="Times New Roman" w:hAnsi="Times New Roman"/>
                <w:b/>
                <w:kern w:val="0"/>
                <w:sz w:val="16"/>
                <w:szCs w:val="16"/>
                <w:lang w:val="pt-BR" w:eastAsia="en-US" w:bidi="ar-SA"/>
              </w:rPr>
              <w:t>23</w:t>
            </w:r>
          </w:p>
        </w:tc>
        <w:tc>
          <w:tcPr>
            <w:tcW w:w="701" w:type="dxa"/>
            <w:tcBorders>
              <w:top w:val="nil"/>
              <w:start w:val="nil"/>
              <w:bottom w:val="nil"/>
              <w:end w:val="nil"/>
            </w:tcBorders>
            <w:tcMar>
              <w:top w:w="0" w:type="dxa"/>
              <w:start w:w="108" w:type="dxa"/>
              <w:bottom w:w="0" w:type="dxa"/>
              <w:end w:w="108" w:type="dxa"/>
            </w:tcMar>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r>
          </w:p>
        </w:tc>
      </w:tr>
      <w:tr>
        <w:trPr/>
        <w:tc>
          <w:tcPr>
            <w:tcW w:w="8359" w:type="dxa"/>
            <w:tcBorders>
              <w:top w:val="nil"/>
              <w:start w:val="nil"/>
              <w:bottom w:val="nil"/>
              <w:end w:val="nil"/>
            </w:tcBorders>
          </w:tcPr>
          <w:p>
            <w:pPr>
              <w:pStyle w:val="Normal"/>
              <w:widowControl/>
              <w:tabs>
                <w:tab w:val="clear" w:pos="907"/>
                <w:tab w:val="left" w:pos="6450" w:leader="none"/>
              </w:tabs>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21. TED (TERMO DE EXECUÇÃO DESCENTRALIZADA) A REALIZAR</w:t>
              <w:tab/>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23</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22. PROVISÕES JUDICIAIS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24</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23. PROVISÕES DIVERSAS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25</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24. OUTRAS OBRIGAÇÕES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25</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25. PATRIMÔNIO LÍQUIDO</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25</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26. RECEITA OPERACIONAL LÍQUIDA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26</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27. CUSTOS DOS PRODUTOS VENDIDOS E DOS SERVIÇOS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27</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28. MANUTENÇÃO DE CAPACIDADE ESTRATÉGICA</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28</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29. DESPESAS ADMINISTRATIVAS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29</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30. DESPESAS COMERCIAIS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30</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31. DESPESAS TRIBUTÁRIAS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31</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32. DESPESAS DIVERSAS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31</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33. RESULTADO TED</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31</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34. RECEITAS DIVERSAS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31</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 xml:space="preserve">35. DESPESAS FINANCEIRAS </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 xml:space="preserve">31                                                                                                                                                                                                                                                                                                                                                                                                                                                                                                                                                                                                                                                                                                                                                                                                                                                                                                                                                                                                                                                                                                                                                                                                                                                                                                                                                                                                                                                                                                                                                                                                                                                                                                                                                                                                                                                                                                                                                                                                                                                                                                                                                                                                                                                                                                                                                                                                                                                                                                                                                                                                                                                                                                                                                                           </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36. RECEITAS FINANCEIRAS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32</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37. OUTRAS DESPESAS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32</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38. OUTRAS RECEITAS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32</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39.  RECEITA ORÇAMENTÁRIA</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32</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40. IMPOSTO DE RENDA E CONTRIBUIÇÃO SOCIAL</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33</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41. REMUNERAÇÃO DOS DIRIGENTES, EMPREGADOS E BENEFÍCIOS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34</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42. PARTES RELACIONADAS</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35</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t>43. CONCILIAÇÃO ENTRE BALANÇO PUBLICADO E BALANÇO SIAFI</w:t>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t>36</w:t>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8359" w:type="dxa"/>
            <w:tcBorders>
              <w:top w:val="nil"/>
              <w:start w:val="nil"/>
              <w:bottom w:val="nil"/>
              <w:end w:val="nil"/>
            </w:tcBorders>
          </w:tcPr>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r>
          </w:p>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r>
          </w:p>
          <w:p>
            <w:pPr>
              <w:pStyle w:val="Normal"/>
              <w:widowControl/>
              <w:spacing w:lineRule="auto" w:line="240" w:before="0" w:after="0"/>
              <w:jc w:val="start"/>
              <w:rPr>
                <w:rFonts w:ascii="Times New Roman" w:hAnsi="Times New Roman" w:cs="Times New Roman"/>
                <w:sz w:val="16"/>
                <w:szCs w:val="16"/>
              </w:rPr>
            </w:pPr>
            <w:r>
              <w:rPr>
                <w:rFonts w:eastAsia="Calibri" w:cs="Times New Roman" w:ascii="Times New Roman" w:hAnsi="Times New Roman"/>
                <w:kern w:val="0"/>
                <w:sz w:val="16"/>
                <w:szCs w:val="16"/>
                <w:lang w:val="pt-BR" w:eastAsia="en-US" w:bidi="ar-SA"/>
              </w:rPr>
            </w:r>
          </w:p>
        </w:tc>
        <w:tc>
          <w:tcPr>
            <w:tcW w:w="70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16"/>
                <w:szCs w:val="16"/>
              </w:rPr>
            </w:pPr>
            <w:r>
              <w:rPr>
                <w:rFonts w:eastAsia="Calibri" w:cs="Times New Roman" w:ascii="Times New Roman" w:hAnsi="Times New Roman"/>
                <w:b/>
                <w:kern w:val="0"/>
                <w:sz w:val="16"/>
                <w:szCs w:val="16"/>
                <w:lang w:val="pt-BR" w:eastAsia="en-US" w:bidi="ar-SA"/>
              </w:rPr>
            </w:r>
          </w:p>
        </w:tc>
        <w:tc>
          <w:tcPr>
            <w:tcW w:w="701" w:type="dxa"/>
            <w:tcBorders>
              <w:top w:val="nil"/>
              <w:start w:val="nil"/>
              <w:bottom w:val="nil"/>
              <w:end w:val="nil"/>
            </w:tcBorders>
            <w:tcMar>
              <w:top w:w="0" w:type="dxa"/>
              <w:start w:w="108" w:type="dxa"/>
              <w:bottom w:w="0" w:type="dxa"/>
              <w:end w:w="108" w:type="dxa"/>
            </w:tcMar>
          </w:tcPr>
          <w:p>
            <w:pPr>
              <w:pStyle w:val="Normal"/>
              <w:widowControl/>
              <w:spacing w:lineRule="atLeast" w:line="0" w:before="0" w:after="0"/>
              <w:jc w:val="start"/>
              <w:rPr>
                <w:sz w:val="2"/>
              </w:rPr>
            </w:pPr>
            <w:r>
              <w:rPr>
                <w:rFonts w:eastAsia="Calibri" w:cs=""/>
                <w:kern w:val="0"/>
                <w:sz w:val="2"/>
                <w:szCs w:val="22"/>
                <w:lang w:val="pt-BR" w:eastAsia="en-US" w:bidi="ar-SA"/>
              </w:rPr>
            </w:r>
          </w:p>
        </w:tc>
      </w:tr>
    </w:tbl>
    <w:p>
      <w:pPr>
        <w:pStyle w:val="ListParagraph"/>
        <w:numPr>
          <w:ilvl w:val="0"/>
          <w:numId w:val="2"/>
        </w:numPr>
        <w:spacing w:lineRule="auto" w:line="240" w:before="0" w:after="0"/>
        <w:ind w:hanging="360" w:start="360"/>
        <w:contextualSpacing/>
        <w:rPr/>
      </w:pPr>
      <w:r>
        <w:rPr>
          <w:rFonts w:cs="Times New Roman" w:ascii="Times New Roman" w:hAnsi="Times New Roman"/>
          <w:b/>
          <w:sz w:val="24"/>
          <w:szCs w:val="24"/>
        </w:rPr>
        <w:t xml:space="preserve">BALANÇO PATRIMONIAL  </w:t>
      </w:r>
    </w:p>
    <w:p>
      <w:pPr>
        <w:pStyle w:val="ListParagraph"/>
        <w:spacing w:lineRule="auto" w:line="240" w:before="0" w:after="0"/>
        <w:ind w:start="360"/>
        <w:contextualSpacing/>
        <w:rPr/>
      </w:pPr>
      <w:r>
        <w:rPr/>
      </w:r>
    </w:p>
    <w:p>
      <w:pPr>
        <w:pStyle w:val="Normal"/>
        <w:spacing w:lineRule="auto" w:line="240" w:before="0" w:after="0"/>
        <w:ind w:start="360"/>
        <w:rPr>
          <w:rFonts w:ascii="Times New Roman" w:hAnsi="Times New Roman" w:cs="Times New Roman"/>
          <w:b/>
          <w:sz w:val="24"/>
          <w:szCs w:val="24"/>
        </w:rPr>
      </w:pPr>
      <w:r>
        <w:rPr/>
        <w:drawing>
          <wp:inline distT="0" distB="0" distL="0" distR="0">
            <wp:extent cx="6106160" cy="5962650"/>
            <wp:effectExtent l="0" t="0" r="0" b="0"/>
            <wp:docPr id="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1"/>
                    <pic:cNvPicPr>
                      <a:picLocks noChangeAspect="1" noChangeArrowheads="1"/>
                    </pic:cNvPicPr>
                  </pic:nvPicPr>
                  <pic:blipFill>
                    <a:blip r:embed="rId10"/>
                    <a:stretch>
                      <a:fillRect/>
                    </a:stretch>
                  </pic:blipFill>
                  <pic:spPr bwMode="auto">
                    <a:xfrm>
                      <a:off x="0" y="0"/>
                      <a:ext cx="6106160" cy="5962650"/>
                    </a:xfrm>
                    <a:prstGeom prst="rect">
                      <a:avLst/>
                    </a:prstGeom>
                    <a:noFill/>
                  </pic:spPr>
                </pic:pic>
              </a:graphicData>
            </a:graphic>
          </wp:inline>
        </w:drawing>
      </w:r>
    </w:p>
    <w:tbl>
      <w:tblPr>
        <w:tblStyle w:val="Tabelacomgrade"/>
        <w:tblW w:w="10467"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3651"/>
        <w:gridCol w:w="3284"/>
        <w:gridCol w:w="3532"/>
      </w:tblGrid>
      <w:tr>
        <w:trPr/>
        <w:tc>
          <w:tcPr>
            <w:tcW w:w="365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3284"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c>
          <w:tcPr>
            <w:tcW w:w="3532"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Contadora CRC-DF 021352/O-T</w:t>
            </w:r>
          </w:p>
        </w:tc>
      </w:tr>
      <w:tr>
        <w:trPr/>
        <w:tc>
          <w:tcPr>
            <w:tcW w:w="3651"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c>
          <w:tcPr>
            <w:tcW w:w="6816" w:type="dxa"/>
            <w:gridSpan w:val="2"/>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start"/>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 xml:space="preserve">   </w:t>
            </w: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 xml:space="preserve">           </w:t>
            </w:r>
            <w:r>
              <w:rPr>
                <w:rFonts w:eastAsia="Calibri" w:cs="Times New Roman" w:ascii="Times New Roman" w:hAnsi="Times New Roman"/>
                <w:kern w:val="0"/>
                <w:sz w:val="20"/>
                <w:szCs w:val="24"/>
                <w:lang w:val="pt-BR" w:eastAsia="en-US" w:bidi="ar-SA"/>
              </w:rPr>
              <w:t>Diretor Presidente</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r>
    </w:tbl>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2. DEMONSTRAÇÃO DO RESULTADO </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drawing>
          <wp:inline distT="0" distB="0" distL="0" distR="0">
            <wp:extent cx="6646545" cy="4838700"/>
            <wp:effectExtent l="0" t="0" r="0" b="0"/>
            <wp:docPr id="7"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2"/>
                    <pic:cNvPicPr>
                      <a:picLocks noChangeAspect="1" noChangeArrowheads="1"/>
                    </pic:cNvPicPr>
                  </pic:nvPicPr>
                  <pic:blipFill>
                    <a:blip r:embed="rId11"/>
                    <a:stretch>
                      <a:fillRect/>
                    </a:stretch>
                  </pic:blipFill>
                  <pic:spPr bwMode="auto">
                    <a:xfrm>
                      <a:off x="0" y="0"/>
                      <a:ext cx="6646545" cy="48387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bl>
      <w:tblPr>
        <w:tblStyle w:val="Tabelacomgrade"/>
        <w:tblW w:w="90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530"/>
        <w:gridCol w:w="4530"/>
      </w:tblGrid>
      <w:tr>
        <w:trPr/>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Contadora CRC-DF 021352/O-T</w:t>
            </w:r>
          </w:p>
        </w:tc>
      </w:tr>
      <w:tr>
        <w:trPr/>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r>
      <w:tr>
        <w:trPr/>
        <w:tc>
          <w:tcPr>
            <w:tcW w:w="9060" w:type="dxa"/>
            <w:gridSpan w:val="2"/>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Presidente</w:t>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r>
    </w:tbl>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907"/>
          <w:tab w:val="left" w:pos="2655"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b/>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907"/>
          <w:tab w:val="left" w:pos="655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907"/>
          <w:tab w:val="left" w:pos="6555"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907"/>
          <w:tab w:val="left" w:pos="6555" w:leader="none"/>
        </w:tabs>
        <w:spacing w:before="0" w:after="200"/>
        <w:rPr>
          <w:rFonts w:ascii="Times New Roman" w:hAnsi="Times New Roman" w:cs="Times New Roman"/>
          <w:sz w:val="24"/>
          <w:szCs w:val="24"/>
        </w:rPr>
        <w:sectPr>
          <w:headerReference w:type="default" r:id="rId12"/>
          <w:headerReference w:type="first" r:id="rId13"/>
          <w:footerReference w:type="even" r:id="rId14"/>
          <w:footerReference w:type="default" r:id="rId15"/>
          <w:footerReference w:type="first" r:id="rId16"/>
          <w:type w:val="nextPage"/>
          <w:pgSz w:w="11906" w:h="16838"/>
          <w:pgMar w:left="720" w:right="720" w:gutter="0" w:header="709" w:top="766" w:footer="113" w:bottom="720"/>
          <w:pgNumType w:start="2" w:fmt="decimal"/>
          <w:formProt w:val="false"/>
          <w:textDirection w:val="lrTb"/>
          <w:docGrid w:type="default" w:linePitch="360" w:charSpace="0"/>
        </w:sect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 xml:space="preserve">3. DEMONSTRAÇÃO DAS MUTAÇÕES DO PATRIMÔNIO LÍQUIDO </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drawing>
          <wp:inline distT="0" distB="0" distL="0" distR="0">
            <wp:extent cx="9610725" cy="3524250"/>
            <wp:effectExtent l="0" t="0" r="0" b="0"/>
            <wp:docPr id="10"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3"/>
                    <pic:cNvPicPr>
                      <a:picLocks noChangeAspect="1" noChangeArrowheads="1"/>
                    </pic:cNvPicPr>
                  </pic:nvPicPr>
                  <pic:blipFill>
                    <a:blip r:embed="rId17"/>
                    <a:stretch>
                      <a:fillRect/>
                    </a:stretch>
                  </pic:blipFill>
                  <pic:spPr bwMode="auto">
                    <a:xfrm>
                      <a:off x="0" y="0"/>
                      <a:ext cx="9610725" cy="3524250"/>
                    </a:xfrm>
                    <a:prstGeom prst="rect">
                      <a:avLst/>
                    </a:prstGeom>
                    <a:noFill/>
                  </pic:spPr>
                </pic:pic>
              </a:graphicData>
            </a:graphic>
          </wp:inline>
        </w:drawing>
      </w:r>
    </w:p>
    <w:p>
      <w:pPr>
        <w:pStyle w:val="Normal"/>
        <w:spacing w:lineRule="auto" w:line="240" w:before="0" w:after="0"/>
        <w:rPr>
          <w:lang w:eastAsia="pt-BR"/>
        </w:rPr>
      </w:pPr>
      <w:r>
        <w:rPr>
          <w:lang w:eastAsia="pt-BR"/>
        </w:rPr>
      </w:r>
    </w:p>
    <w:p>
      <w:pPr>
        <w:pStyle w:val="Normal"/>
        <w:spacing w:lineRule="auto" w:line="240" w:before="0" w:after="0"/>
        <w:rPr>
          <w:lang w:eastAsia="pt-BR"/>
        </w:rPr>
      </w:pPr>
      <w:r>
        <w:rPr>
          <w:lang w:eastAsia="pt-BR"/>
        </w:rPr>
      </w:r>
    </w:p>
    <w:tbl>
      <w:tblPr>
        <w:tblStyle w:val="Tabelacomgrade"/>
        <w:tblW w:w="1531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249"/>
        <w:gridCol w:w="4281"/>
        <w:gridCol w:w="5393"/>
        <w:gridCol w:w="5210"/>
        <w:gridCol w:w="183"/>
      </w:tblGrid>
      <w:tr>
        <w:trPr/>
        <w:tc>
          <w:tcPr>
            <w:tcW w:w="4530" w:type="dxa"/>
            <w:gridSpan w:val="2"/>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5393"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tabs>
                <w:tab w:val="clear" w:pos="907"/>
                <w:tab w:val="left" w:pos="1395" w:leader="none"/>
              </w:tabs>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ab/>
            </w:r>
          </w:p>
        </w:tc>
        <w:tc>
          <w:tcPr>
            <w:tcW w:w="5393" w:type="dxa"/>
            <w:gridSpan w:val="2"/>
            <w:tcBorders>
              <w:top w:val="nil"/>
              <w:start w:val="nil"/>
              <w:bottom w:val="nil"/>
              <w:end w:val="nil"/>
            </w:tcBorders>
            <w:vAlign w:val="center"/>
          </w:tcPr>
          <w:p>
            <w:pPr>
              <w:pStyle w:val="Normal"/>
              <w:widowControl/>
              <w:spacing w:lineRule="auto" w:line="240" w:before="0" w:after="0"/>
              <w:jc w:val="start"/>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Contadora CRC-DF 021352/O-T</w:t>
            </w:r>
          </w:p>
        </w:tc>
      </w:tr>
      <w:tr>
        <w:trPr/>
        <w:tc>
          <w:tcPr>
            <w:tcW w:w="249" w:type="dxa"/>
            <w:tcBorders>
              <w:top w:val="nil"/>
              <w:start w:val="nil"/>
              <w:bottom w:val="nil"/>
              <w:end w:val="nil"/>
            </w:tcBorders>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c>
          <w:tcPr>
            <w:tcW w:w="14884" w:type="dxa"/>
            <w:gridSpan w:val="3"/>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Presidente</w:t>
            </w:r>
          </w:p>
        </w:tc>
        <w:tc>
          <w:tcPr>
            <w:tcW w:w="183" w:type="dxa"/>
            <w:tcBorders>
              <w:top w:val="nil"/>
              <w:start w:val="nil"/>
              <w:bottom w:val="nil"/>
              <w:end w:val="nil"/>
            </w:tcBorders>
          </w:tcPr>
          <w:p>
            <w:pPr>
              <w:pStyle w:val="Normal"/>
              <w:widowControl/>
              <w:spacing w:lineRule="atLeast" w:line="0" w:before="0" w:after="0"/>
              <w:jc w:val="start"/>
              <w:rPr>
                <w:sz w:val="2"/>
              </w:rPr>
            </w:pPr>
            <w:r>
              <w:rPr>
                <w:rFonts w:eastAsia="Calibri" w:cs=""/>
                <w:kern w:val="0"/>
                <w:sz w:val="2"/>
                <w:szCs w:val="22"/>
                <w:lang w:val="pt-BR" w:eastAsia="en-US" w:bidi="ar-SA"/>
              </w:rPr>
            </w:r>
          </w:p>
        </w:tc>
      </w:tr>
    </w:tbl>
    <w:p>
      <w:pPr>
        <w:pStyle w:val="Normal"/>
        <w:spacing w:before="0" w:after="200"/>
        <w:rPr>
          <w:rFonts w:ascii="Times New Roman" w:hAnsi="Times New Roman" w:cs="Times New Roman"/>
          <w:sz w:val="24"/>
          <w:szCs w:val="24"/>
        </w:rPr>
        <w:sectPr>
          <w:headerReference w:type="default" r:id="rId18"/>
          <w:headerReference w:type="first" r:id="rId19"/>
          <w:footerReference w:type="default" r:id="rId20"/>
          <w:footerReference w:type="first" r:id="rId21"/>
          <w:type w:val="nextPage"/>
          <w:pgSz w:orient="landscape" w:w="16838" w:h="11906"/>
          <w:pgMar w:left="720" w:right="720" w:gutter="0" w:header="510" w:top="720" w:footer="0" w:bottom="720"/>
          <w:pgNumType w:fmt="decimal"/>
          <w:formProt w:val="false"/>
          <w:textDirection w:val="lrTb"/>
          <w:docGrid w:type="default" w:linePitch="360" w:charSpace="0"/>
        </w:sect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4. DEMONSTRAÇÃO DO FLUXO DE CAIXA – MÉTODO INDIRETO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pPr>
      <w:r>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559550" cy="6090920"/>
            <wp:effectExtent l="0" t="0" r="0" b="0"/>
            <wp:docPr id="13"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4"/>
                    <pic:cNvPicPr>
                      <a:picLocks noChangeAspect="1" noChangeArrowheads="1"/>
                    </pic:cNvPicPr>
                  </pic:nvPicPr>
                  <pic:blipFill>
                    <a:blip r:embed="rId22"/>
                    <a:stretch>
                      <a:fillRect/>
                    </a:stretch>
                  </pic:blipFill>
                  <pic:spPr bwMode="auto">
                    <a:xfrm>
                      <a:off x="0" y="0"/>
                      <a:ext cx="6559550" cy="609092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16"/>
          <w:szCs w:val="16"/>
        </w:rPr>
      </w:pPr>
      <w:r>
        <w:rPr>
          <w:rFonts w:cs="Times New Roman" w:ascii="Times New Roman" w:hAnsi="Times New Roman"/>
          <w:b/>
          <w:sz w:val="16"/>
          <w:szCs w:val="16"/>
        </w:rPr>
        <w:t>* Reclassificação de AFAC para fluxo de Investimento conforme CPC 03 (02) - Demonstração Fluxo de Caixa.</w:t>
      </w:r>
    </w:p>
    <w:p>
      <w:pPr>
        <w:pStyle w:val="Normal"/>
        <w:spacing w:lineRule="auto" w:line="240" w:before="0" w:after="0"/>
        <w:jc w:val="both"/>
        <w:rPr>
          <w:rFonts w:ascii="Times New Roman" w:hAnsi="Times New Roman" w:cs="Times New Roman"/>
          <w:b/>
          <w:sz w:val="16"/>
          <w:szCs w:val="16"/>
        </w:rPr>
      </w:pPr>
      <w:r>
        <w:rPr>
          <w:rFonts w:cs="Times New Roman" w:ascii="Times New Roman" w:hAnsi="Times New Roman"/>
          <w:b/>
          <w:sz w:val="16"/>
          <w:szCs w:val="16"/>
        </w:rPr>
      </w:r>
    </w:p>
    <w:tbl>
      <w:tblPr>
        <w:tblStyle w:val="Tabelacomgrade"/>
        <w:tblW w:w="90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530"/>
        <w:gridCol w:w="4530"/>
      </w:tblGrid>
      <w:tr>
        <w:trPr/>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Contadora CRC-DF 021352/O-T</w:t>
            </w:r>
          </w:p>
        </w:tc>
      </w:tr>
      <w:tr>
        <w:trPr/>
        <w:tc>
          <w:tcPr>
            <w:tcW w:w="9060" w:type="dxa"/>
            <w:gridSpan w:val="2"/>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Presidente</w:t>
            </w:r>
          </w:p>
        </w:tc>
      </w:tr>
    </w:tbl>
    <w:p>
      <w:pPr>
        <w:pStyle w:val="Normal"/>
        <w:spacing w:lineRule="auto" w:line="240" w:before="0" w:after="0"/>
        <w:jc w:val="both"/>
        <w:rPr>
          <w:rFonts w:ascii="Times New Roman" w:hAnsi="Times New Roman" w:cs="Times New Roman"/>
          <w:b/>
          <w:sz w:val="16"/>
          <w:szCs w:val="16"/>
        </w:rPr>
      </w:pPr>
      <w:r>
        <w:rPr>
          <w:rFonts w:cs="Times New Roman" w:ascii="Times New Roman" w:hAnsi="Times New Roman"/>
          <w:b/>
          <w:sz w:val="16"/>
          <w:szCs w:val="16"/>
        </w:rPr>
      </w:r>
    </w:p>
    <w:p>
      <w:pPr>
        <w:pStyle w:val="Normal"/>
        <w:spacing w:lineRule="auto" w:line="240" w:before="0" w:after="0"/>
        <w:jc w:val="both"/>
        <w:rPr>
          <w:rFonts w:ascii="Times New Roman" w:hAnsi="Times New Roman" w:cs="Times New Roman"/>
          <w:b/>
          <w:sz w:val="16"/>
          <w:szCs w:val="16"/>
        </w:rPr>
      </w:pPr>
      <w:r>
        <w:rPr>
          <w:rFonts w:cs="Times New Roman" w:ascii="Times New Roman" w:hAnsi="Times New Roman"/>
          <w:b/>
          <w:sz w:val="16"/>
          <w:szCs w:val="16"/>
        </w:rPr>
      </w:r>
    </w:p>
    <w:p>
      <w:pPr>
        <w:pStyle w:val="Normal"/>
        <w:spacing w:lineRule="auto" w:line="240" w:before="0" w:after="0"/>
        <w:jc w:val="both"/>
        <w:rPr>
          <w:rFonts w:ascii="Times New Roman" w:hAnsi="Times New Roman" w:cs="Times New Roman"/>
          <w:b/>
          <w:sz w:val="16"/>
          <w:szCs w:val="16"/>
        </w:rPr>
      </w:pPr>
      <w:r>
        <w:rPr>
          <w:rFonts w:cs="Times New Roman" w:ascii="Times New Roman" w:hAnsi="Times New Roman"/>
          <w:b/>
          <w:sz w:val="16"/>
          <w:szCs w:val="16"/>
        </w:rPr>
      </w:r>
    </w:p>
    <w:p>
      <w:pPr>
        <w:pStyle w:val="Normal"/>
        <w:spacing w:lineRule="auto" w:line="240" w:before="0" w:after="0"/>
        <w:jc w:val="both"/>
        <w:rPr>
          <w:rFonts w:ascii="Times New Roman" w:hAnsi="Times New Roman" w:cs="Times New Roman"/>
          <w:b/>
          <w:sz w:val="16"/>
          <w:szCs w:val="16"/>
        </w:rPr>
      </w:pPr>
      <w:r>
        <w:rPr>
          <w:rFonts w:cs="Times New Roman" w:ascii="Times New Roman" w:hAnsi="Times New Roman"/>
          <w:b/>
          <w:sz w:val="16"/>
          <w:szCs w:val="16"/>
        </w:rPr>
      </w:r>
    </w:p>
    <w:tbl>
      <w:tblPr>
        <w:tblStyle w:val="Tabelacomgrade"/>
        <w:tblW w:w="2718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3590"/>
        <w:gridCol w:w="13590"/>
      </w:tblGrid>
      <w:tr>
        <w:trPr/>
        <w:tc>
          <w:tcPr>
            <w:tcW w:w="13590" w:type="dxa"/>
            <w:tcBorders>
              <w:top w:val="nil"/>
              <w:start w:val="nil"/>
              <w:bottom w:val="nil"/>
              <w:end w:val="nil"/>
            </w:tcBorders>
            <w:vAlign w:val="center"/>
          </w:tcPr>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13590" w:type="dxa"/>
            <w:tcBorders>
              <w:top w:val="nil"/>
              <w:start w:val="nil"/>
              <w:bottom w:val="nil"/>
              <w:end w:val="nil"/>
            </w:tcBorders>
            <w:vAlign w:val="center"/>
          </w:tcPr>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r>
      <w:tr>
        <w:trPr/>
        <w:tc>
          <w:tcPr>
            <w:tcW w:w="27180" w:type="dxa"/>
            <w:gridSpan w:val="2"/>
            <w:tcBorders>
              <w:top w:val="nil"/>
              <w:start w:val="nil"/>
              <w:bottom w:val="nil"/>
              <w:end w:val="nil"/>
            </w:tcBorders>
          </w:tcPr>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r>
    </w:tbl>
    <w:p>
      <w:pPr>
        <w:sectPr>
          <w:headerReference w:type="default" r:id="rId23"/>
          <w:headerReference w:type="first" r:id="rId24"/>
          <w:footerReference w:type="default" r:id="rId25"/>
          <w:footerReference w:type="first" r:id="rId26"/>
          <w:type w:val="nextPage"/>
          <w:pgSz w:w="11906" w:h="16838"/>
          <w:pgMar w:left="709" w:right="567" w:gutter="0" w:header="709" w:top="766" w:footer="0" w:bottom="720"/>
          <w:pgNumType w:fmt="decimal"/>
          <w:formProt w:val="false"/>
          <w:textDirection w:val="lrTb"/>
          <w:docGrid w:type="default" w:linePitch="360" w:charSpace="0"/>
        </w:sectPr>
      </w:pP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5. DEMONSTRAÇÃO DO VALOR ADICIONADO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29730" cy="5975350"/>
            <wp:effectExtent l="0" t="0" r="0" b="0"/>
            <wp:docPr id="16"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5"/>
                    <pic:cNvPicPr>
                      <a:picLocks noChangeAspect="1" noChangeArrowheads="1"/>
                    </pic:cNvPicPr>
                  </pic:nvPicPr>
                  <pic:blipFill>
                    <a:blip r:embed="rId27"/>
                    <a:stretch>
                      <a:fillRect/>
                    </a:stretch>
                  </pic:blipFill>
                  <pic:spPr bwMode="auto">
                    <a:xfrm>
                      <a:off x="0" y="0"/>
                      <a:ext cx="6729730" cy="5975350"/>
                    </a:xfrm>
                    <a:prstGeom prst="rect">
                      <a:avLst/>
                    </a:prstGeom>
                    <a:noFill/>
                  </pic:spPr>
                </pic:pic>
              </a:graphicData>
            </a:graphic>
          </wp:inline>
        </w:drawing>
      </w:r>
    </w:p>
    <w:tbl>
      <w:tblPr>
        <w:tblStyle w:val="Tabelacomgrade"/>
        <w:tblW w:w="2718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530"/>
        <w:gridCol w:w="4529"/>
        <w:gridCol w:w="4531"/>
        <w:gridCol w:w="4530"/>
        <w:gridCol w:w="9060"/>
      </w:tblGrid>
      <w:tr>
        <w:trPr/>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29"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31"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start"/>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 xml:space="preserve">                    </w:t>
            </w: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 xml:space="preserve">      </w:t>
            </w:r>
            <w:r>
              <w:rPr>
                <w:rFonts w:eastAsia="Calibri" w:cs="Times New Roman" w:ascii="Times New Roman" w:hAnsi="Times New Roman"/>
                <w:kern w:val="0"/>
                <w:sz w:val="20"/>
                <w:szCs w:val="24"/>
                <w:lang w:val="pt-BR" w:eastAsia="en-US" w:bidi="ar-SA"/>
              </w:rPr>
              <w:t>Contadora CRC-DF 021352/O-T</w:t>
            </w:r>
          </w:p>
        </w:tc>
        <w:tc>
          <w:tcPr>
            <w:tcW w:w="9060" w:type="dxa"/>
            <w:tcBorders>
              <w:top w:val="nil"/>
              <w:start w:val="nil"/>
              <w:bottom w:val="nil"/>
              <w:end w:val="nil"/>
            </w:tcBorders>
          </w:tcPr>
          <w:p>
            <w:pPr>
              <w:pStyle w:val="Normal"/>
              <w:widowControl/>
              <w:spacing w:lineRule="atLeast" w:line="0" w:before="0" w:after="0"/>
              <w:jc w:val="start"/>
              <w:rPr>
                <w:sz w:val="2"/>
              </w:rPr>
            </w:pPr>
            <w:r>
              <w:rPr>
                <w:rFonts w:eastAsia="Calibri" w:cs=""/>
                <w:kern w:val="0"/>
                <w:sz w:val="2"/>
                <w:szCs w:val="22"/>
                <w:lang w:val="pt-BR" w:eastAsia="en-US" w:bidi="ar-SA"/>
              </w:rPr>
            </w:r>
          </w:p>
        </w:tc>
      </w:tr>
      <w:tr>
        <w:trPr/>
        <w:tc>
          <w:tcPr>
            <w:tcW w:w="9059" w:type="dxa"/>
            <w:gridSpan w:val="2"/>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9061" w:type="dxa"/>
            <w:gridSpan w:val="2"/>
            <w:tcBorders>
              <w:top w:val="nil"/>
              <w:start w:val="nil"/>
              <w:bottom w:val="nil"/>
              <w:end w:val="nil"/>
            </w:tcBorders>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center"/>
              <w:rPr>
                <w:rFonts w:ascii="Times New Roman" w:hAnsi="Times New Roman" w:cs="Times New Roman"/>
                <w:bCs/>
                <w:sz w:val="20"/>
                <w:szCs w:val="24"/>
              </w:rPr>
            </w:pPr>
            <w:r>
              <w:rPr>
                <w:rFonts w:eastAsia="Calibri" w:cs="Times New Roman" w:ascii="Times New Roman" w:hAnsi="Times New Roman"/>
                <w:bCs/>
                <w:kern w:val="0"/>
                <w:sz w:val="20"/>
                <w:szCs w:val="24"/>
                <w:lang w:val="pt-BR" w:eastAsia="en-US" w:bidi="ar-SA"/>
              </w:rPr>
              <w:t>Diretor Presidente</w:t>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906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r>
    </w:tbl>
    <w:p>
      <w:pPr>
        <w:sectPr>
          <w:headerReference w:type="default" r:id="rId28"/>
          <w:headerReference w:type="first" r:id="rId29"/>
          <w:footerReference w:type="default" r:id="rId30"/>
          <w:footerReference w:type="first" r:id="rId31"/>
          <w:type w:val="nextPage"/>
          <w:pgSz w:w="11906" w:h="16838"/>
          <w:pgMar w:left="709" w:right="567" w:gutter="0" w:header="709" w:top="766" w:footer="0" w:bottom="720"/>
          <w:pgNumType w:fmt="decimal"/>
          <w:formProt w:val="false"/>
          <w:textDirection w:val="lrTb"/>
          <w:docGrid w:type="default" w:linePitch="360" w:charSpace="0"/>
        </w:sectPr>
      </w:pPr>
    </w:p>
    <w:tbl>
      <w:tblPr>
        <w:tblStyle w:val="Tabelacomgrade"/>
        <w:tblW w:w="90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9060"/>
      </w:tblGrid>
      <w:tr>
        <w:trPr/>
        <w:tc>
          <w:tcPr>
            <w:tcW w:w="906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tc>
      </w:tr>
    </w:tbl>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6. DEMONSTRAÇÃO DO RESULTADO ABRANGENTE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3209925"/>
            <wp:effectExtent l="0" t="0" r="0" b="0"/>
            <wp:docPr id="19"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6"/>
                    <pic:cNvPicPr>
                      <a:picLocks noChangeAspect="1" noChangeArrowheads="1"/>
                    </pic:cNvPicPr>
                  </pic:nvPicPr>
                  <pic:blipFill>
                    <a:blip r:embed="rId32"/>
                    <a:stretch>
                      <a:fillRect/>
                    </a:stretch>
                  </pic:blipFill>
                  <pic:spPr bwMode="auto">
                    <a:xfrm>
                      <a:off x="0" y="0"/>
                      <a:ext cx="6750685" cy="32099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tbl>
      <w:tblPr>
        <w:tblStyle w:val="Tabelacomgrade"/>
        <w:tblW w:w="90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530"/>
        <w:gridCol w:w="4530"/>
      </w:tblGrid>
      <w:tr>
        <w:trPr/>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Contadora CRC-DF 021352/O-T</w:t>
            </w:r>
          </w:p>
        </w:tc>
      </w:tr>
      <w:tr>
        <w:trPr/>
        <w:tc>
          <w:tcPr>
            <w:tcW w:w="9060" w:type="dxa"/>
            <w:gridSpan w:val="2"/>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Presidente</w:t>
            </w:r>
          </w:p>
        </w:tc>
      </w:tr>
    </w:tbl>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200"/>
        <w:jc w:val="both"/>
        <w:rPr>
          <w:rFonts w:ascii="Times New Roman" w:hAnsi="Times New Roman" w:cs="Times New Roman"/>
          <w:b/>
          <w:sz w:val="24"/>
          <w:szCs w:val="24"/>
        </w:rPr>
        <w:sectPr>
          <w:headerReference w:type="default" r:id="rId33"/>
          <w:headerReference w:type="first" r:id="rId34"/>
          <w:footerReference w:type="default" r:id="rId35"/>
          <w:footerReference w:type="first" r:id="rId36"/>
          <w:type w:val="nextPage"/>
          <w:pgSz w:w="11906" w:h="16838"/>
          <w:pgMar w:left="709" w:right="567" w:gutter="0" w:header="709" w:top="766" w:footer="0" w:bottom="720"/>
          <w:pgNumType w:fmt="decimal"/>
          <w:formProt w:val="false"/>
          <w:textDirection w:val="lrTb"/>
          <w:docGrid w:type="default" w:linePitch="360" w:charSpace="0"/>
        </w:sectPr>
      </w:pPr>
      <w:r>
        <w:rPr>
          <w:rFonts w:cs="Times New Roman" w:ascii="Times New Roman" w:hAnsi="Times New Roman"/>
          <w:b/>
          <w:sz w:val="24"/>
          <w:szCs w:val="24"/>
        </w:rPr>
      </w:r>
    </w:p>
    <w:tbl>
      <w:tblPr>
        <w:tblStyle w:val="Tabelacomgrade"/>
        <w:tblpPr w:vertAnchor="text" w:horzAnchor="text" w:tblpXSpec="center" w:leftFromText="141" w:rightFromText="141" w:tblpY="1"/>
        <w:tblOverlap w:val="never"/>
        <w:tblW w:w="90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9060"/>
      </w:tblGrid>
      <w:tr>
        <w:trPr/>
        <w:tc>
          <w:tcPr>
            <w:tcW w:w="9060" w:type="dxa"/>
            <w:tcBorders>
              <w:top w:val="nil"/>
              <w:start w:val="nil"/>
              <w:bottom w:val="nil"/>
              <w:end w:val="nil"/>
            </w:tcBorders>
            <w:vAlign w:val="center"/>
          </w:tcPr>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r>
    </w:tbl>
    <w:p>
      <w:pPr>
        <w:pStyle w:val="Normal"/>
        <w:spacing w:lineRule="auto" w:line="240" w:before="0" w:after="0"/>
        <w:jc w:val="both"/>
        <w:rPr>
          <w:rFonts w:ascii="Times New Roman" w:hAnsi="Times New Roman" w:cs="Times New Roman"/>
          <w:b/>
          <w:sz w:val="24"/>
          <w:szCs w:val="24"/>
        </w:rPr>
      </w:pPr>
      <w:r/>
      <w:r>
        <w:rPr>
          <w:rFonts w:cs="Times New Roman" w:ascii="Times New Roman" w:hAnsi="Times New Roman"/>
          <w:b/>
          <w:sz w:val="24"/>
          <w:szCs w:val="24"/>
        </w:rPr>
        <w:t>7.NOTAS EXPLICATIVAS ÀS DEMONSTRAÇÕES CONTÁBEIS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7.1. Contexto Operacional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7.1.1.</w:t>
      </w:r>
      <w:r>
        <w:rPr>
          <w:rFonts w:cs="Times New Roman" w:ascii="Times New Roman" w:hAnsi="Times New Roman"/>
          <w:sz w:val="24"/>
          <w:szCs w:val="24"/>
        </w:rPr>
        <w:t xml:space="preserve"> A Indústria de Material Bélico do Brasil - IMBEL</w:t>
      </w:r>
      <w:r>
        <w:rPr>
          <w:rFonts w:ascii="Times New Roman" w:hAnsi="Times New Roman"/>
          <w:sz w:val="24"/>
          <w:szCs w:val="24"/>
          <w:vertAlign w:val="superscript"/>
        </w:rPr>
        <w:t>®</w:t>
      </w:r>
      <w:r>
        <w:rPr>
          <w:rFonts w:cs="Times New Roman" w:ascii="Times New Roman" w:hAnsi="Times New Roman"/>
          <w:sz w:val="24"/>
          <w:szCs w:val="24"/>
        </w:rPr>
        <w:t xml:space="preserve"> foi criada em 14 de julho de 1975, por intermédio da Lei nº 6.227. É uma Empresa Pública dependente integrante do Orçamento Fiscal e da Seguridade da União, vinculada ao Ministério da Defesa, por intermédio do Comando do Exército, dotada de personalidade jurídica de direito privado, com patrimônio próprio.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7.1.2.</w:t>
      </w:r>
      <w:r>
        <w:rPr>
          <w:rFonts w:cs="Times New Roman" w:ascii="Times New Roman" w:hAnsi="Times New Roman"/>
          <w:sz w:val="24"/>
          <w:szCs w:val="24"/>
        </w:rPr>
        <w:t xml:space="preserve"> A IMBEL</w:t>
      </w:r>
      <w:r>
        <w:rPr>
          <w:rFonts w:cs="Times New Roman" w:ascii="Times New Roman" w:hAnsi="Times New Roman"/>
          <w:sz w:val="24"/>
          <w:szCs w:val="24"/>
          <w:vertAlign w:val="superscript"/>
        </w:rPr>
        <w:t>®</w:t>
      </w:r>
      <w:r>
        <w:rPr>
          <w:rFonts w:cs="Times New Roman" w:ascii="Times New Roman" w:hAnsi="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 e das diretrizes fixadas, periodicamente, pelo Comandante do Exército para a IMBEL</w:t>
      </w:r>
      <w:r>
        <w:rPr>
          <w:rFonts w:cs="Times New Roman" w:ascii="Times New Roman" w:hAnsi="Times New Roman"/>
          <w:sz w:val="24"/>
          <w:szCs w:val="24"/>
          <w:vertAlign w:val="superscript"/>
        </w:rPr>
        <w:t>®</w:t>
      </w:r>
      <w:r>
        <w:rPr>
          <w:rFonts w:cs="Times New Roman" w:ascii="Times New Roman" w:hAnsi="Times New Roman"/>
          <w:sz w:val="24"/>
          <w:szCs w:val="24"/>
        </w:rPr>
        <w:t>, tendo por objeto: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IV – participar na manutenção e da capacidade estratégica da indústria de defesa e de segurança do País; e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V – promover o desenvolvimento e a execução de outras atividades relacionadas com sua finalidade.</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7.1.3. </w:t>
      </w:r>
      <w:r>
        <w:rPr>
          <w:rFonts w:cs="Times New Roman" w:ascii="Times New Roman" w:hAnsi="Times New Roman"/>
          <w:sz w:val="24"/>
          <w:szCs w:val="24"/>
        </w:rPr>
        <w:t>Constituem atividades relacionadas com a finalidade da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 - promover a Base Industrial de Defesa e atividades correlatas, abrangendo a construção e a manutenção da infraestrutura de defesa, bem como a logística, a mobilização, a pesquisa, o desenvolvimento, a inovação e a certificação de seus produtos e de terceiros;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II- gerenciar projetos de interesse da Defesa e da Segurança;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III - promover ou executar atividades vinculadas à obtenção e manutenção de produtos e sistemas de defesa e de segurança;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IV - promover e executar atividades ligadas à obtenção, manutenção, proteção ou expansão dos conhecimentos e competências essenciais para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cumprir tanto os seus objetivos, quanto as exigências de mobilização do País;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V - promover e executar atividades que permitam à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manter uma infraestrutura adequada às  exigências de mobilização e de manutenção da capacidade estratégica fabril e gerencial de defesa e de segurança do País;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VI – atuar como prestadora de serviços ou representante comercial;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VII – exportar produtos e sistemas de defesa das Forças Armadas; 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VIII – apoiar projetos de pesquisa, desenvolvimento e inovação na área de defesa e segurança nacional.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7.1.4. </w:t>
      </w:r>
      <w:r>
        <w:rPr>
          <w:rFonts w:cs="Times New Roman" w:ascii="Times New Roman" w:hAnsi="Times New Roman"/>
          <w:sz w:val="24"/>
          <w:szCs w:val="24"/>
        </w:rPr>
        <w:t>As atividades desenvolvidas pela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7.1.5.</w:t>
      </w:r>
      <w:r>
        <w:rPr>
          <w:rFonts w:cs="Times New Roman" w:ascii="Times New Roman" w:hAnsi="Times New Roman"/>
          <w:sz w:val="24"/>
          <w:szCs w:val="24"/>
        </w:rPr>
        <w:t xml:space="preserve">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tem sede e foro na cidade de Brasília - DF, onde está situada sua Diretoria. Atua em todo o território nacional e possui as seguintes Unidades de Produção.</w:t>
      </w:r>
    </w:p>
    <w:p>
      <w:pPr>
        <w:pStyle w:val="Normal"/>
        <w:spacing w:lineRule="auto" w:line="240" w:before="0" w:after="0"/>
        <w:jc w:val="both"/>
        <w:rPr>
          <w:rFonts w:ascii="Times New Roman" w:hAnsi="Times New Roman" w:cs="Times New Roman"/>
          <w:sz w:val="24"/>
          <w:szCs w:val="24"/>
        </w:rPr>
        <w:sectPr>
          <w:headerReference w:type="default" r:id="rId37"/>
          <w:headerReference w:type="first" r:id="rId38"/>
          <w:footerReference w:type="default" r:id="rId39"/>
          <w:footerReference w:type="first" r:id="rId40"/>
          <w:type w:val="nextPage"/>
          <w:pgSz w:w="11906" w:h="16838"/>
          <w:pgMar w:left="709" w:right="567" w:gutter="0" w:header="709" w:top="766" w:footer="0" w:bottom="720"/>
          <w:pgNumType w:fmt="decimal"/>
          <w:formProt w:val="false"/>
          <w:textDirection w:val="lrTb"/>
          <w:docGrid w:type="default" w:linePitch="360" w:charSpace="0"/>
        </w:sectPr>
      </w:pPr>
      <w:r>
        <w:rPr>
          <w:rFonts w:cs="Times New Roman" w:ascii="Times New Roman" w:hAnsi="Times New Roman"/>
          <w:sz w:val="24"/>
          <w:szCs w:val="24"/>
        </w:rPr>
      </w:r>
    </w:p>
    <w:tbl>
      <w:tblPr>
        <w:tblStyle w:val="Tabelacomgrade"/>
        <w:tblW w:w="5000" w:type="pct"/>
        <w:jc w:val="start"/>
        <w:tblInd w:w="0" w:type="dxa"/>
        <w:tblLayout w:type="fixed"/>
        <w:tblCellMar>
          <w:top w:w="57" w:type="dxa"/>
          <w:start w:w="57" w:type="dxa"/>
          <w:bottom w:w="57" w:type="dxa"/>
          <w:end w:w="57" w:type="dxa"/>
        </w:tblCellMar>
        <w:tblLook w:firstRow="1" w:noVBand="1" w:lastRow="0" w:firstColumn="1" w:lastColumn="0" w:noHBand="0" w:val="04a0"/>
      </w:tblPr>
      <w:tblGrid>
        <w:gridCol w:w="945"/>
        <w:gridCol w:w="2839"/>
        <w:gridCol w:w="6846"/>
      </w:tblGrid>
      <w:tr>
        <w:trPr>
          <w:trHeight w:val="252" w:hRule="atLeast"/>
        </w:trPr>
        <w:tc>
          <w:tcPr>
            <w:tcW w:w="945" w:type="dxa"/>
            <w:tcBorders>
              <w:start w:val="nil"/>
              <w:bottom w:val="double" w:sz="4" w:space="0" w:color="000000"/>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Sigla</w:t>
            </w:r>
          </w:p>
        </w:tc>
        <w:tc>
          <w:tcPr>
            <w:tcW w:w="2839" w:type="dxa"/>
            <w:tcBorders>
              <w:start w:val="nil"/>
              <w:bottom w:val="double" w:sz="4" w:space="0" w:color="000000"/>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Localização</w:t>
            </w:r>
          </w:p>
        </w:tc>
        <w:tc>
          <w:tcPr>
            <w:tcW w:w="6846" w:type="dxa"/>
            <w:tcBorders>
              <w:start w:val="nil"/>
              <w:bottom w:val="double" w:sz="4" w:space="0" w:color="000000"/>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Principais produtos</w:t>
            </w:r>
          </w:p>
        </w:tc>
      </w:tr>
      <w:tr>
        <w:trPr>
          <w:trHeight w:val="993" w:hRule="atLeast"/>
        </w:trPr>
        <w:tc>
          <w:tcPr>
            <w:tcW w:w="945" w:type="dxa"/>
            <w:tcBorders>
              <w:top w:val="double" w:sz="4" w:space="0" w:color="000000"/>
              <w:start w:val="nil"/>
              <w:bottom w:val="nil"/>
              <w:end w:val="nil"/>
            </w:tcBorders>
            <w:vAlign w:val="center"/>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FPV</w:t>
            </w:r>
          </w:p>
        </w:tc>
        <w:tc>
          <w:tcPr>
            <w:tcW w:w="2839" w:type="dxa"/>
            <w:tcBorders>
              <w:top w:val="double" w:sz="4" w:space="0" w:color="000000"/>
              <w:start w:val="nil"/>
              <w:bottom w:val="nil"/>
              <w:end w:val="nil"/>
            </w:tcBorders>
            <w:vAlign w:val="center"/>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Piquete – SP</w:t>
            </w:r>
          </w:p>
        </w:tc>
        <w:tc>
          <w:tcPr>
            <w:tcW w:w="6846" w:type="dxa"/>
            <w:tcBorders>
              <w:top w:val="double" w:sz="4" w:space="0" w:color="000000"/>
              <w:start w:val="nil"/>
              <w:bottom w:val="nil"/>
              <w:end w:val="nil"/>
            </w:tcBorders>
          </w:tcPr>
          <w:p>
            <w:pPr>
              <w:pStyle w:val="Normal"/>
              <w:widowControl/>
              <w:spacing w:lineRule="auto" w:line="240" w:before="0" w:after="0"/>
              <w:jc w:val="start"/>
              <w:rPr>
                <w:rFonts w:ascii="Times New Roman" w:hAnsi="Times New Roman" w:cs="Times New Roman"/>
                <w:color w:val="FF0000"/>
              </w:rPr>
            </w:pPr>
            <w:r>
              <w:rPr>
                <w:rFonts w:eastAsia="Calibri" w:cs="Times New Roman" w:ascii="Times New Roman" w:hAnsi="Times New Roman"/>
                <w:kern w:val="0"/>
                <w:sz w:val="22"/>
                <w:szCs w:val="22"/>
                <w:lang w:val="pt-BR" w:eastAsia="en-US" w:bidi="ar-SA"/>
              </w:rPr>
              <w:t>Fabricação de pólvora de base simples, pólvora de base dupla, éter sulfúrico, plastex, dinamites gelatinosas, grãos propelentes base dupla, abrigos temporários de alto desempenho, trinitrotolueno (TNT), nitrocelulose, nitroglicerina e gelatina explosiva.</w:t>
            </w:r>
          </w:p>
        </w:tc>
      </w:tr>
      <w:tr>
        <w:trPr>
          <w:trHeight w:val="267" w:hRule="atLeast"/>
        </w:trPr>
        <w:tc>
          <w:tcPr>
            <w:tcW w:w="945"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FJF</w:t>
            </w:r>
          </w:p>
        </w:tc>
        <w:tc>
          <w:tcPr>
            <w:tcW w:w="2839"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Juiz de Fora - MG</w:t>
            </w:r>
          </w:p>
        </w:tc>
        <w:tc>
          <w:tcPr>
            <w:tcW w:w="6846"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Fabricação de munição de grosso calibre.</w:t>
            </w:r>
          </w:p>
        </w:tc>
      </w:tr>
      <w:tr>
        <w:trPr>
          <w:trHeight w:val="252" w:hRule="atLeast"/>
        </w:trPr>
        <w:tc>
          <w:tcPr>
            <w:tcW w:w="945"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FMCE</w:t>
            </w:r>
          </w:p>
        </w:tc>
        <w:tc>
          <w:tcPr>
            <w:tcW w:w="2839"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Rio de Janeiro - RJ</w:t>
            </w:r>
          </w:p>
        </w:tc>
        <w:tc>
          <w:tcPr>
            <w:tcW w:w="6846"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Fabricação de sistemas equipamentos eletrônicos militares.</w:t>
            </w:r>
          </w:p>
        </w:tc>
      </w:tr>
      <w:tr>
        <w:trPr>
          <w:trHeight w:val="267" w:hRule="atLeast"/>
        </w:trPr>
        <w:tc>
          <w:tcPr>
            <w:tcW w:w="945"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REPI</w:t>
            </w:r>
          </w:p>
        </w:tc>
        <w:tc>
          <w:tcPr>
            <w:tcW w:w="2839"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Wenceslau Braz - MG</w:t>
            </w:r>
          </w:p>
        </w:tc>
        <w:tc>
          <w:tcPr>
            <w:tcW w:w="6846"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Produção, distribuição e comercialização de Energia Elétrica.</w:t>
            </w:r>
          </w:p>
        </w:tc>
      </w:tr>
      <w:tr>
        <w:trPr>
          <w:trHeight w:val="252" w:hRule="atLeast"/>
        </w:trPr>
        <w:tc>
          <w:tcPr>
            <w:tcW w:w="945"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FI</w:t>
            </w:r>
          </w:p>
        </w:tc>
        <w:tc>
          <w:tcPr>
            <w:tcW w:w="2839"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Itajubá – MG</w:t>
            </w:r>
          </w:p>
        </w:tc>
        <w:tc>
          <w:tcPr>
            <w:tcW w:w="6846" w:type="dxa"/>
            <w:tcBorders>
              <w:top w:val="nil"/>
              <w:start w:val="nil"/>
              <w:bottom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Fabricação de armamento leve (Pistolas, Fuzis e Carabinas).</w:t>
            </w:r>
          </w:p>
        </w:tc>
      </w:tr>
      <w:tr>
        <w:trPr>
          <w:trHeight w:val="384" w:hRule="atLeast"/>
        </w:trPr>
        <w:tc>
          <w:tcPr>
            <w:tcW w:w="945" w:type="dxa"/>
            <w:tcBorders>
              <w:top w:val="nil"/>
              <w:start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FE</w:t>
            </w:r>
          </w:p>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r>
          </w:p>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ESRS</w:t>
            </w:r>
          </w:p>
        </w:tc>
        <w:tc>
          <w:tcPr>
            <w:tcW w:w="2839" w:type="dxa"/>
            <w:tcBorders>
              <w:top w:val="nil"/>
              <w:start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Magé – RJ</w:t>
            </w:r>
          </w:p>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r>
          </w:p>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Santa Rita do Sapucaí - MG</w:t>
            </w:r>
          </w:p>
        </w:tc>
        <w:tc>
          <w:tcPr>
            <w:tcW w:w="6846" w:type="dxa"/>
            <w:tcBorders>
              <w:top w:val="nil"/>
              <w:start w:val="nil"/>
              <w:end w:val="nil"/>
            </w:tcBorders>
          </w:tcPr>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Fabricação de explosivos, propelentes, iniciadores e acessórios.</w:t>
            </w:r>
          </w:p>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r>
          </w:p>
          <w:p>
            <w:pPr>
              <w:pStyle w:val="Normal"/>
              <w:widowControl/>
              <w:spacing w:lineRule="auto" w:line="240" w:before="0" w:after="0"/>
              <w:jc w:val="start"/>
              <w:rPr>
                <w:rFonts w:ascii="Times New Roman" w:hAnsi="Times New Roman" w:cs="Times New Roman"/>
              </w:rPr>
            </w:pPr>
            <w:r>
              <w:rPr>
                <w:rFonts w:eastAsia="Calibri" w:cs="Times New Roman" w:ascii="Times New Roman" w:hAnsi="Times New Roman"/>
                <w:kern w:val="0"/>
                <w:sz w:val="22"/>
                <w:szCs w:val="22"/>
                <w:lang w:val="pt-BR" w:eastAsia="en-US" w:bidi="ar-SA"/>
              </w:rPr>
              <w:t>Pesquisa e desenvolvimento experimental em ciências físicas e naturais.</w:t>
            </w:r>
          </w:p>
        </w:tc>
      </w:tr>
    </w:tbl>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7.1.6.</w:t>
      </w:r>
      <w:r>
        <w:rPr>
          <w:rFonts w:cs="Times New Roman" w:ascii="Times New Roman" w:hAnsi="Times New Roman"/>
          <w:sz w:val="24"/>
          <w:szCs w:val="24"/>
        </w:rPr>
        <w:t xml:space="preserve"> Em 2024,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tornou-se uma Instituição Cientifica Tecnológica e de Inovação (ICT), ampliando suas capacidades e possibilidades.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7.2. Apresentação das Demonstrações Contábeis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7.2.1. </w:t>
      </w:r>
      <w:r>
        <w:rPr>
          <w:rFonts w:cs="Times New Roman" w:ascii="Times New Roman" w:hAnsi="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 SUMÁRIO DAS PRINCIPAIS PRÁTICAS CONTÁBEIS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 Disponibilidades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MacroFunção SIAFI 020305 e IN 04 STN de 30/08/2004.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8.2. Instrumentos Financeiros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8.2.1.</w:t>
      </w:r>
      <w:r>
        <w:rPr>
          <w:rFonts w:cs="Times New Roman" w:ascii="Times New Roman" w:hAnsi="Times New Roman"/>
          <w:sz w:val="24"/>
          <w:szCs w:val="24"/>
        </w:rPr>
        <w:t xml:space="preserve"> A classificação dos ativos financeiros é realizada a partir de uma análise das características contratuais dos fluxos de caixa e do modelo de negócios da empresa para a gestão dos ativos.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8.2.2. </w:t>
      </w:r>
      <w:r>
        <w:rPr>
          <w:rFonts w:cs="Times New Roman" w:ascii="Times New Roman" w:hAnsi="Times New Roman"/>
          <w:sz w:val="24"/>
          <w:szCs w:val="24"/>
        </w:rPr>
        <w:t>Os ativos financeiros são classificados nas categorias, abaixo, relacionadas: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8.2.2.1. </w:t>
      </w:r>
      <w:r>
        <w:rPr>
          <w:rFonts w:cs="Times New Roman" w:ascii="Times New Roman" w:hAnsi="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8.2.2.2.</w:t>
      </w:r>
      <w:r>
        <w:rPr>
          <w:rFonts w:cs="Times New Roman" w:ascii="Times New Roman" w:hAnsi="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8.2.2.3.</w:t>
      </w:r>
      <w:r>
        <w:rPr>
          <w:rFonts w:cs="Times New Roman" w:ascii="Times New Roman" w:hAnsi="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8.2.3. </w:t>
      </w:r>
      <w:r>
        <w:rPr>
          <w:rFonts w:cs="Times New Roman" w:ascii="Times New Roman" w:hAnsi="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8.3. Clientes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8.3.1.</w:t>
      </w:r>
      <w:r>
        <w:rPr>
          <w:rFonts w:cs="Times New Roman" w:ascii="Times New Roman" w:hAnsi="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8.3.2.</w:t>
      </w:r>
      <w:r>
        <w:rPr>
          <w:rFonts w:cs="Times New Roman" w:ascii="Times New Roman" w:hAnsi="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8.4. Estoques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São avaliados ao custo de aquisição ou de produção, não excedendo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8.5. Impostos a Recuperar</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8.5.1. </w:t>
      </w:r>
      <w:r>
        <w:rPr>
          <w:rFonts w:cs="Times New Roman" w:ascii="Times New Roman" w:hAnsi="Times New Roman"/>
          <w:sz w:val="24"/>
          <w:szCs w:val="24"/>
        </w:rPr>
        <w:t>São registrados mediante apropriação na aquisição de insumos destinados à produção, os quais serão compensados com saldos a pagar no exercício seguinte, com exceção ao INSS.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8.5.2. </w:t>
      </w:r>
      <w:r>
        <w:rPr>
          <w:rFonts w:cs="Times New Roman" w:ascii="Times New Roman" w:hAnsi="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8.5.3. </w:t>
      </w:r>
      <w:r>
        <w:rPr>
          <w:rFonts w:cs="Times New Roman" w:ascii="Times New Roman" w:hAnsi="Times New Roman"/>
          <w:sz w:val="24"/>
          <w:szCs w:val="24"/>
        </w:rPr>
        <w:t>Os impostos a recuperar são mensalmente compensados com tributos gerados nas operações de saída ou por intermédio de pedidos de ressarcimento junto à Receita Federal do Brasil.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8.6. Despesas Antecipadas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Os custos de serviços a apropriar são compostos por serviços que estão sendo prestados a clientes, já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8.7. Outros Ativos Circulantes e Não Circulantes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São registrados ao valor de custo ou de realização, incluindo, quando aplicável, os rendimentos auferidos até a data do balanço.</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8.8. Investimentos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São avaliados pelo custo de aquisição, ajustados ao seu valor recuperável, quando aplicável, e pelos rendimentos, conforme demonstrado na nota explicativa nº 14.</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8.9. Imobilizado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Está demonstrado pelo custo de aquisição e/ou formação, deduzido pela depreciação acumulada. A Depreciação do Ativo Imobilizado é calculada pelo método linear, a qual reflete o tempo de vida útil econômica estimada dos bens.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8.10. Intangível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sz w:val="24"/>
          <w:szCs w:val="24"/>
        </w:rPr>
        <w:t>Os Ativos Intangíveis são mensurados com base no custo de aquisição e/ou formação, deduzido a amortização acumulada, se for o caso, e perdas por redução ao valor recuperável.</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8.11. Adiantamento de Clientes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Corresponde aos adiantamentos recebidos dos clientes antes da entrega dos produtos, suportados por contratos celebrados entre as partes, e estão sujeitos à variação cambial, quando aplicável.</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8.12. Demais Passivos Circulantes e Não Circulantes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São demonstrados pelos valores conhecidos ou exigíveis, acrescidos, quando aplicável, dos respectivos encargos e variações cambiais.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8.13. Provisões para Contingências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8.13.1.</w:t>
      </w:r>
      <w:r>
        <w:rPr>
          <w:rFonts w:cs="Times New Roman" w:ascii="Times New Roman" w:hAnsi="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8.13.2. </w:t>
      </w:r>
      <w:r>
        <w:rPr>
          <w:rFonts w:cs="Times New Roman" w:ascii="Times New Roman" w:hAnsi="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8.13.3. </w:t>
      </w:r>
      <w:r>
        <w:rPr>
          <w:rFonts w:cs="Times New Roman" w:ascii="Times New Roman" w:hAnsi="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8.13.4. </w:t>
      </w:r>
      <w:r>
        <w:rPr>
          <w:rFonts w:cs="Times New Roman" w:ascii="Times New Roman" w:hAnsi="Times New Roman"/>
          <w:sz w:val="24"/>
          <w:szCs w:val="24"/>
        </w:rPr>
        <w:t xml:space="preserve">Os passivos contingentes classificados como perdas possíveis não são reconhecidos nas demonstrações contábeis, devendo ser apenas divulgados em notas explicativas, e os classificados como remoto não requerem provisão e divulgação.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8.13.5.  </w:t>
      </w:r>
      <w:r>
        <w:rPr>
          <w:rFonts w:cs="Times New Roman" w:ascii="Times New Roman" w:hAnsi="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8.14. Apuração do Resultado</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As Receitas e Despesas foram apuradas pelo Regime de Competência.</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8.15. Receita Orçamentária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8.15.1.</w:t>
      </w:r>
      <w:r>
        <w:rPr>
          <w:rFonts w:cs="Times New Roman" w:ascii="Times New Roman" w:hAnsi="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8.15.2. </w:t>
      </w:r>
      <w:r>
        <w:rPr>
          <w:rFonts w:cs="Times New Roman" w:ascii="Times New Roman" w:hAnsi="Times New Roman"/>
          <w:sz w:val="24"/>
          <w:szCs w:val="24"/>
        </w:rPr>
        <w:t>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é uma empresa estatal dependente, por isso faz parte do Orçamento Fiscal e da Seguridade Social da União e não do Orçamento de investimentos das Estatais, e tem seus gastos discricionários classificados nos GNDs (grupos de natureza de despesa) 3 (outras despesas correntes) e 4 (investimento), e seus gastos de pessoal em GND 1 (pessoal e encargos sociais), assim como as outras empresas estatais dependentes da União.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8.15.3.</w:t>
      </w:r>
      <w:r>
        <w:rPr>
          <w:rFonts w:cs="Times New Roman" w:ascii="Times New Roman" w:hAnsi="Times New Roman"/>
          <w:sz w:val="24"/>
          <w:szCs w:val="24"/>
        </w:rPr>
        <w:t xml:space="preserve"> Pelo art. 2º, inciso III da Lei Complementar nº 101, de 4 de maio de 2000 (Lei da Responsabilidade Fiscal), empresa estatal dependente é a empresa controlada que recebe do ente controlador (União) recursos financeiros para pagamento de despesas com pessoal, de custeio em geral ou de capital, excluídos, neste último caso, os provenientes de aumento de participação societária.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8.16. TED a Realizar</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O Termo de Execução Descentralizada - TED constitui instrumento por meio do qual é ajustada a descentralização de créditos entre órgãos integrantes do Orçamento Fiscal e da Seguridade Social da União para execução de ações de interesse recíproco, previsto no Decreto nº 10.426, de 16 de julho de 2020. O registro do TED no passivo ocorre pelo valor pactuado entre as partes envolvidas.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8.17. Tributos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8.17.1.  </w:t>
      </w:r>
      <w:r>
        <w:rPr>
          <w:rFonts w:cs="Times New Roman" w:ascii="Times New Roman" w:hAnsi="Times New Roman"/>
          <w:sz w:val="24"/>
          <w:szCs w:val="24"/>
        </w:rPr>
        <w:t>Os tributos são apurados com base nas alíquotas demonstradas no quadro a seguir:</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bl>
      <w:tblPr>
        <w:tblW w:w="5000" w:type="pct"/>
        <w:jc w:val="start"/>
        <w:tblInd w:w="0" w:type="dxa"/>
        <w:tblLayout w:type="fixed"/>
        <w:tblCellMar>
          <w:top w:w="0" w:type="dxa"/>
          <w:start w:w="70" w:type="dxa"/>
          <w:bottom w:w="0" w:type="dxa"/>
          <w:end w:w="70" w:type="dxa"/>
        </w:tblCellMar>
        <w:tblLook w:firstRow="0" w:noVBand="0" w:lastRow="0" w:firstColumn="0" w:lastColumn="0" w:noHBand="0" w:val="0000"/>
      </w:tblPr>
      <w:tblGrid>
        <w:gridCol w:w="8265"/>
        <w:gridCol w:w="2365"/>
      </w:tblGrid>
      <w:tr>
        <w:trPr>
          <w:trHeight w:val="170" w:hRule="atLeast"/>
        </w:trPr>
        <w:tc>
          <w:tcPr>
            <w:tcW w:w="8265" w:type="dxa"/>
            <w:tcBorders>
              <w:top w:val="single" w:sz="4" w:space="0" w:color="000000"/>
              <w:bottom w:val="single" w:sz="4" w:space="0" w:color="000000"/>
            </w:tcBorders>
            <w:shd w:color="auto" w:fill="FFFFFF" w:val="clear"/>
          </w:tcPr>
          <w:p>
            <w:pPr>
              <w:pStyle w:val="Normal"/>
              <w:keepNext w:val="true"/>
              <w:pBdr/>
              <w:spacing w:before="0" w:after="0"/>
              <w:rPr>
                <w:rFonts w:ascii="Times New Roman" w:hAnsi="Times New Roman" w:cs="Times New Roman"/>
                <w:b/>
                <w:bCs/>
                <w:sz w:val="18"/>
                <w:szCs w:val="18"/>
              </w:rPr>
            </w:pPr>
            <w:r>
              <w:rPr>
                <w:rFonts w:cs="Times New Roman" w:ascii="Times New Roman" w:hAnsi="Times New Roman"/>
                <w:b/>
                <w:bCs/>
                <w:sz w:val="18"/>
                <w:szCs w:val="18"/>
              </w:rPr>
              <w:t>Tributos</w:t>
            </w:r>
          </w:p>
        </w:tc>
        <w:tc>
          <w:tcPr>
            <w:tcW w:w="2365" w:type="dxa"/>
            <w:tcBorders>
              <w:top w:val="single" w:sz="4" w:space="0" w:color="000000"/>
              <w:bottom w:val="single" w:sz="4" w:space="0" w:color="000000"/>
            </w:tcBorders>
            <w:shd w:color="auto" w:fill="FFFFFF" w:val="clear"/>
          </w:tcPr>
          <w:p>
            <w:pPr>
              <w:pStyle w:val="Normal"/>
              <w:keepNext w:val="true"/>
              <w:pBdr/>
              <w:spacing w:before="0" w:after="0"/>
              <w:ind w:start="-212"/>
              <w:jc w:val="end"/>
              <w:rPr>
                <w:rFonts w:ascii="Times New Roman" w:hAnsi="Times New Roman" w:cs="Times New Roman"/>
                <w:b/>
                <w:bCs/>
                <w:sz w:val="18"/>
                <w:szCs w:val="18"/>
              </w:rPr>
            </w:pPr>
            <w:r>
              <w:rPr>
                <w:rFonts w:cs="Times New Roman" w:ascii="Times New Roman" w:hAnsi="Times New Roman"/>
                <w:b/>
                <w:bCs/>
                <w:sz w:val="18"/>
                <w:szCs w:val="18"/>
              </w:rPr>
              <w:t>Alíquota</w:t>
            </w:r>
          </w:p>
        </w:tc>
      </w:tr>
      <w:tr>
        <w:trPr>
          <w:trHeight w:val="170" w:hRule="atLeast"/>
        </w:trPr>
        <w:tc>
          <w:tcPr>
            <w:tcW w:w="8265" w:type="dxa"/>
            <w:tcBorders/>
            <w:shd w:color="auto" w:fill="FFFFFF" w:val="clear"/>
          </w:tcPr>
          <w:p>
            <w:pPr>
              <w:pStyle w:val="Normal"/>
              <w:keepNext w:val="true"/>
              <w:pBdr/>
              <w:spacing w:before="0" w:after="0"/>
              <w:rPr>
                <w:rFonts w:ascii="Times New Roman" w:hAnsi="Times New Roman" w:cs="Times New Roman"/>
                <w:sz w:val="18"/>
                <w:szCs w:val="18"/>
              </w:rPr>
            </w:pPr>
            <w:r>
              <w:rPr>
                <w:rFonts w:cs="Times New Roman" w:ascii="Times New Roman" w:hAnsi="Times New Roman"/>
                <w:sz w:val="18"/>
                <w:szCs w:val="18"/>
              </w:rPr>
              <w:t>Imposto de Renda (15% e adicional de 10%)</w:t>
            </w:r>
          </w:p>
        </w:tc>
        <w:tc>
          <w:tcPr>
            <w:tcW w:w="2365" w:type="dxa"/>
            <w:tcBorders/>
            <w:shd w:color="auto" w:fill="FFFFFF" w:val="clear"/>
          </w:tcPr>
          <w:p>
            <w:pPr>
              <w:pStyle w:val="Normal"/>
              <w:keepNext w:val="true"/>
              <w:pBdr/>
              <w:spacing w:before="0" w:after="0"/>
              <w:ind w:start="-212"/>
              <w:jc w:val="end"/>
              <w:rPr>
                <w:rFonts w:ascii="Times New Roman" w:hAnsi="Times New Roman" w:cs="Times New Roman"/>
                <w:sz w:val="18"/>
                <w:szCs w:val="18"/>
              </w:rPr>
            </w:pPr>
            <w:r>
              <w:rPr>
                <w:rFonts w:cs="Times New Roman" w:ascii="Times New Roman" w:hAnsi="Times New Roman"/>
                <w:sz w:val="18"/>
                <w:szCs w:val="18"/>
              </w:rPr>
              <w:t>25%</w:t>
            </w:r>
          </w:p>
        </w:tc>
      </w:tr>
      <w:tr>
        <w:trPr>
          <w:trHeight w:val="170" w:hRule="atLeast"/>
        </w:trPr>
        <w:tc>
          <w:tcPr>
            <w:tcW w:w="8265" w:type="dxa"/>
            <w:tcBorders/>
            <w:shd w:color="auto" w:fill="FFFFFF" w:val="clear"/>
          </w:tcPr>
          <w:p>
            <w:pPr>
              <w:pStyle w:val="Corpodetextobt3"/>
              <w:keepNext w:val="true"/>
              <w:widowControl/>
              <w:pBdr/>
              <w:rPr>
                <w:rFonts w:ascii="Times New Roman" w:hAnsi="Times New Roman" w:cs="Times New Roman"/>
                <w:sz w:val="18"/>
                <w:szCs w:val="18"/>
              </w:rPr>
            </w:pPr>
            <w:r>
              <w:rPr>
                <w:rFonts w:cs="Times New Roman" w:ascii="Times New Roman" w:hAnsi="Times New Roman"/>
                <w:sz w:val="18"/>
                <w:szCs w:val="18"/>
              </w:rPr>
              <w:t>Contribuição Social sobre o Lucro Líquido – CSLL</w:t>
            </w:r>
          </w:p>
        </w:tc>
        <w:tc>
          <w:tcPr>
            <w:tcW w:w="2365" w:type="dxa"/>
            <w:tcBorders/>
            <w:shd w:color="auto" w:fill="FFFFFF" w:val="clear"/>
          </w:tcPr>
          <w:p>
            <w:pPr>
              <w:pStyle w:val="Normal"/>
              <w:keepNext w:val="true"/>
              <w:pBdr/>
              <w:spacing w:before="0" w:after="0"/>
              <w:ind w:start="-212"/>
              <w:jc w:val="end"/>
              <w:rPr>
                <w:rFonts w:ascii="Times New Roman" w:hAnsi="Times New Roman" w:cs="Times New Roman"/>
                <w:sz w:val="18"/>
                <w:szCs w:val="18"/>
              </w:rPr>
            </w:pPr>
            <w:r>
              <w:rPr>
                <w:rFonts w:cs="Times New Roman" w:ascii="Times New Roman" w:hAnsi="Times New Roman"/>
                <w:sz w:val="18"/>
                <w:szCs w:val="18"/>
              </w:rPr>
              <w:t>9%</w:t>
            </w:r>
          </w:p>
        </w:tc>
      </w:tr>
      <w:tr>
        <w:trPr>
          <w:trHeight w:val="170" w:hRule="atLeast"/>
        </w:trPr>
        <w:tc>
          <w:tcPr>
            <w:tcW w:w="8265" w:type="dxa"/>
            <w:tcBorders/>
            <w:shd w:color="auto" w:fill="FFFFFF" w:val="clear"/>
          </w:tcPr>
          <w:p>
            <w:pPr>
              <w:pStyle w:val="Normal"/>
              <w:keepNext w:val="true"/>
              <w:pBdr/>
              <w:spacing w:before="0" w:after="0"/>
              <w:rPr>
                <w:rFonts w:ascii="Times New Roman" w:hAnsi="Times New Roman" w:cs="Times New Roman"/>
                <w:sz w:val="18"/>
                <w:szCs w:val="18"/>
              </w:rPr>
            </w:pPr>
            <w:r>
              <w:rPr>
                <w:rFonts w:cs="Times New Roman" w:ascii="Times New Roman" w:hAnsi="Times New Roman"/>
                <w:sz w:val="18"/>
                <w:szCs w:val="18"/>
              </w:rPr>
              <w:t>Pis/Pasep</w:t>
            </w:r>
          </w:p>
        </w:tc>
        <w:tc>
          <w:tcPr>
            <w:tcW w:w="2365" w:type="dxa"/>
            <w:tcBorders/>
            <w:shd w:color="auto" w:fill="FFFFFF" w:val="clear"/>
          </w:tcPr>
          <w:p>
            <w:pPr>
              <w:pStyle w:val="Normal"/>
              <w:keepNext w:val="true"/>
              <w:pBdr/>
              <w:spacing w:before="0" w:after="0"/>
              <w:ind w:start="-212"/>
              <w:jc w:val="end"/>
              <w:rPr>
                <w:rFonts w:ascii="Times New Roman" w:hAnsi="Times New Roman" w:cs="Times New Roman"/>
                <w:sz w:val="18"/>
                <w:szCs w:val="18"/>
              </w:rPr>
            </w:pPr>
            <w:r>
              <w:rPr>
                <w:rFonts w:cs="Times New Roman" w:ascii="Times New Roman" w:hAnsi="Times New Roman"/>
                <w:sz w:val="18"/>
                <w:szCs w:val="18"/>
              </w:rPr>
              <w:t>1,65%</w:t>
            </w:r>
          </w:p>
        </w:tc>
      </w:tr>
      <w:tr>
        <w:trPr>
          <w:trHeight w:val="170" w:hRule="atLeast"/>
        </w:trPr>
        <w:tc>
          <w:tcPr>
            <w:tcW w:w="8265" w:type="dxa"/>
            <w:tcBorders/>
            <w:shd w:color="auto" w:fill="FFFFFF" w:val="clear"/>
          </w:tcPr>
          <w:p>
            <w:pPr>
              <w:pStyle w:val="Normal"/>
              <w:keepNext w:val="true"/>
              <w:pBdr/>
              <w:spacing w:before="0" w:after="0"/>
              <w:rPr>
                <w:rFonts w:ascii="Times New Roman" w:hAnsi="Times New Roman" w:cs="Times New Roman"/>
                <w:sz w:val="18"/>
                <w:szCs w:val="18"/>
              </w:rPr>
            </w:pPr>
            <w:r>
              <w:rPr>
                <w:rFonts w:cs="Times New Roman" w:ascii="Times New Roman" w:hAnsi="Times New Roman"/>
                <w:sz w:val="18"/>
                <w:szCs w:val="18"/>
              </w:rPr>
              <w:t>Contribuição para o Financiamento da Seguridade Social – Cofins</w:t>
            </w:r>
          </w:p>
        </w:tc>
        <w:tc>
          <w:tcPr>
            <w:tcW w:w="2365" w:type="dxa"/>
            <w:tcBorders/>
            <w:shd w:color="auto" w:fill="FFFFFF" w:val="clear"/>
          </w:tcPr>
          <w:p>
            <w:pPr>
              <w:pStyle w:val="Normal"/>
              <w:keepNext w:val="true"/>
              <w:pBdr/>
              <w:spacing w:before="0" w:after="0"/>
              <w:ind w:start="-212"/>
              <w:jc w:val="end"/>
              <w:rPr>
                <w:rFonts w:ascii="Times New Roman" w:hAnsi="Times New Roman" w:cs="Times New Roman"/>
                <w:sz w:val="18"/>
                <w:szCs w:val="18"/>
              </w:rPr>
            </w:pPr>
            <w:r>
              <w:rPr>
                <w:rFonts w:cs="Times New Roman" w:ascii="Times New Roman" w:hAnsi="Times New Roman"/>
                <w:sz w:val="18"/>
                <w:szCs w:val="18"/>
              </w:rPr>
              <w:t>7,6%</w:t>
            </w:r>
          </w:p>
        </w:tc>
      </w:tr>
      <w:tr>
        <w:trPr>
          <w:trHeight w:val="170" w:hRule="atLeast"/>
        </w:trPr>
        <w:tc>
          <w:tcPr>
            <w:tcW w:w="8265" w:type="dxa"/>
            <w:tcBorders>
              <w:bottom w:val="single" w:sz="4" w:space="0" w:color="000000"/>
            </w:tcBorders>
          </w:tcPr>
          <w:p>
            <w:pPr>
              <w:pStyle w:val="Normal"/>
              <w:keepNext w:val="true"/>
              <w:pBdr/>
              <w:spacing w:before="0" w:after="0"/>
              <w:rPr>
                <w:rFonts w:ascii="Times New Roman" w:hAnsi="Times New Roman" w:cs="Times New Roman"/>
                <w:sz w:val="18"/>
                <w:szCs w:val="18"/>
              </w:rPr>
            </w:pPr>
            <w:r>
              <w:rPr>
                <w:rFonts w:cs="Times New Roman" w:ascii="Times New Roman" w:hAnsi="Times New Roman"/>
                <w:sz w:val="18"/>
                <w:szCs w:val="18"/>
              </w:rPr>
              <w:t>Imposto sobre Serviços de Qualquer Natureza – ISSQN</w:t>
            </w:r>
          </w:p>
        </w:tc>
        <w:tc>
          <w:tcPr>
            <w:tcW w:w="2365" w:type="dxa"/>
            <w:tcBorders>
              <w:bottom w:val="single" w:sz="4" w:space="0" w:color="000000"/>
            </w:tcBorders>
          </w:tcPr>
          <w:p>
            <w:pPr>
              <w:pStyle w:val="Normal"/>
              <w:keepNext w:val="true"/>
              <w:pBdr/>
              <w:spacing w:before="0" w:after="0"/>
              <w:ind w:start="-212"/>
              <w:jc w:val="end"/>
              <w:rPr>
                <w:rFonts w:ascii="Times New Roman" w:hAnsi="Times New Roman" w:cs="Times New Roman"/>
                <w:sz w:val="18"/>
                <w:szCs w:val="18"/>
              </w:rPr>
            </w:pPr>
            <w:r>
              <w:rPr>
                <w:rFonts w:cs="Times New Roman" w:ascii="Times New Roman" w:hAnsi="Times New Roman"/>
                <w:sz w:val="18"/>
                <w:szCs w:val="18"/>
              </w:rPr>
              <w:t>até 5%</w:t>
            </w:r>
          </w:p>
        </w:tc>
      </w:tr>
    </w:tbl>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8.17.2. </w:t>
      </w:r>
      <w:r>
        <w:rPr>
          <w:rFonts w:cs="Times New Roman" w:ascii="Times New Roman" w:hAnsi="Times New Roman"/>
          <w:sz w:val="24"/>
          <w:szCs w:val="24"/>
        </w:rPr>
        <w:t>O Imposto de Renda e a Contribuição Social sobre o Lucro Líquido são calculados, de acordo com a Lei nº 9.430/1996 e Lei nº 9.532/1997, consolidadas pelo Decreto nº 9.580, de 22 de novembro de 2018. Os déficits acumulados nas operações brasileiras não possuem prazo de prescrição, porém a sua compensação é limitada em até 30%, para anos futuros, do montante do lucro tributável de cada exercício.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8.17.3.</w:t>
      </w:r>
      <w:r>
        <w:rPr>
          <w:rFonts w:cs="Times New Roman" w:ascii="Times New Roman" w:hAnsi="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8.17.4.</w:t>
      </w:r>
      <w:r>
        <w:rPr>
          <w:rFonts w:cs="Times New Roman" w:ascii="Times New Roman" w:hAnsi="Times New Roman"/>
          <w:sz w:val="24"/>
          <w:szCs w:val="24"/>
        </w:rPr>
        <w:t xml:space="preserve"> A IMBEL</w:t>
      </w:r>
      <w:r>
        <w:rPr>
          <w:rFonts w:cs="Times New Roman" w:ascii="Times New Roman" w:hAnsi="Times New Roman"/>
          <w:sz w:val="24"/>
          <w:szCs w:val="24"/>
          <w:vertAlign w:val="superscript"/>
        </w:rPr>
        <w:t>®</w:t>
      </w:r>
      <w:r>
        <w:rPr>
          <w:rFonts w:cs="Times New Roman" w:ascii="Times New Roman" w:hAnsi="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8.17.5. </w:t>
      </w:r>
      <w:r>
        <w:rPr>
          <w:rFonts w:cs="Times New Roman" w:ascii="Times New Roman" w:hAnsi="Times New Roman"/>
          <w:sz w:val="24"/>
          <w:szCs w:val="24"/>
        </w:rPr>
        <w:t>A Empresa é contribuinte do ICMS (imposto sobre circulação de mercadorias e serviços), e nas vendas ao consumidor final de outras UF (Unidades Federativas) sofre a sujeição ao ICMS DIFAL UF ORIGEM (imposto sobre circulação de mercadorias e serviços diferencial de alíquota das unidades federativas de origem), ICMS sobre vendas DIFAL DESTINO e ICMS do Fundo de Combate à Pobreza, em conformidade com a Emenda Constitucional nº 87/2015, que realocou, progressivamente, a partilha do ICMS entre os Estados.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8.18. DRU- EC 135/2024-DRU a Pagar</w:t>
      </w:r>
    </w:p>
    <w:p>
      <w:pPr>
        <w:pStyle w:val="Normal"/>
        <w:spacing w:lineRule="auto" w:line="240" w:before="0" w:after="0"/>
        <w:ind w:end="-1"/>
        <w:jc w:val="both"/>
        <w:rPr>
          <w:rFonts w:ascii="Times New Roman" w:hAnsi="Times New Roman" w:cs="Times New Roman"/>
          <w:sz w:val="24"/>
          <w:szCs w:val="24"/>
        </w:rPr>
      </w:pPr>
      <w:r>
        <w:rPr>
          <w:rFonts w:cs="Times New Roman" w:ascii="Times New Roman" w:hAnsi="Times New Roman"/>
          <w:sz w:val="24"/>
          <w:szCs w:val="24"/>
        </w:rPr>
        <w:t>A Desvinculação de Receita da União (DRU) é uma medida da Emenda Constitucional (EC) nº 135/2024, promulgada em 20/12/2024, visando aumentar a flexibilidade do governo federal para desvincular 30% da arrecadação de receitas patrimoniais até 2032. Mensagem SIAFI 2025/3727183 De 170500 - COORDENACAO-GERAL DE TESOURARIA – CGTES/STN em 28/07/2025 a Procuradoria-Geral da Fazenda Nacional - PGFN emitiu um Parecer SEI Nº 1563/2025/MF no qual registrou o entendimento de que não deve haver incidência da DRU, nos termos do art. 76 do ADCT, sobre receitas patrimoniais auferidas pelas empresas púbicas dependentes.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8.19. Manutenção da Capacidade Estratégica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É um conjunto de ações voltadas para garantir que a empresa preserve sua capacidade produtiva em setores essenciais, mesmo quando determinadas operações não são economicamente viáveis no curto prazo. Essa estratégia assegura que as linhas de produção possam ser reativadas rapidamente conforme a necessidade estratégica da empresa e do país, especialmente no contexto da defesa nacional.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Para isso, são realizados investimentos contínuos na manutenção operacional, modernização e expansão da infraestrutura industrial abrangendo:</w:t>
      </w:r>
    </w:p>
    <w:p>
      <w:pPr>
        <w:pStyle w:val="ListParagraph"/>
        <w:numPr>
          <w:ilvl w:val="0"/>
          <w:numId w:val="8"/>
        </w:numPr>
        <w:spacing w:lineRule="auto" w:line="240" w:before="0" w:after="0"/>
        <w:contextualSpacing/>
        <w:jc w:val="both"/>
        <w:rPr>
          <w:rFonts w:ascii="Times New Roman" w:hAnsi="Times New Roman" w:cs="Times New Roman"/>
          <w:sz w:val="24"/>
          <w:szCs w:val="24"/>
        </w:rPr>
      </w:pPr>
      <w:r>
        <w:rPr>
          <w:rFonts w:cs="Times New Roman" w:ascii="Times New Roman" w:hAnsi="Times New Roman"/>
          <w:b/>
          <w:sz w:val="24"/>
          <w:szCs w:val="24"/>
        </w:rPr>
        <w:t xml:space="preserve">Sustentação de linhas de produção existentes: </w:t>
      </w:r>
      <w:r>
        <w:rPr>
          <w:rFonts w:cs="Times New Roman" w:ascii="Times New Roman" w:hAnsi="Times New Roman"/>
          <w:sz w:val="24"/>
          <w:szCs w:val="24"/>
        </w:rPr>
        <w:t>Pagamento de mão de obra, manutenção preventiva e corretiva, depreciação, e custos fixos operacionais.</w:t>
      </w:r>
    </w:p>
    <w:p>
      <w:pPr>
        <w:pStyle w:val="ListParagraph"/>
        <w:numPr>
          <w:ilvl w:val="0"/>
          <w:numId w:val="8"/>
        </w:numPr>
        <w:spacing w:lineRule="auto" w:line="240" w:before="0" w:after="0"/>
        <w:contextualSpacing/>
        <w:jc w:val="both"/>
        <w:rPr>
          <w:rFonts w:ascii="Times New Roman" w:hAnsi="Times New Roman" w:cs="Times New Roman"/>
          <w:sz w:val="24"/>
          <w:szCs w:val="24"/>
        </w:rPr>
      </w:pPr>
      <w:r>
        <w:rPr>
          <w:rFonts w:cs="Times New Roman" w:ascii="Times New Roman" w:hAnsi="Times New Roman"/>
          <w:b/>
          <w:sz w:val="24"/>
          <w:szCs w:val="24"/>
        </w:rPr>
        <w:t xml:space="preserve">Modernização e inovação: </w:t>
      </w:r>
      <w:r>
        <w:rPr>
          <w:rFonts w:cs="Times New Roman" w:ascii="Times New Roman" w:hAnsi="Times New Roman"/>
          <w:sz w:val="24"/>
          <w:szCs w:val="24"/>
        </w:rPr>
        <w:t>Retrofitagem de equipamentos, adoção de novas tecnologias e treinamento contínuo da equipe.</w:t>
      </w:r>
    </w:p>
    <w:p>
      <w:pPr>
        <w:pStyle w:val="ListParagraph"/>
        <w:numPr>
          <w:ilvl w:val="0"/>
          <w:numId w:val="8"/>
        </w:numPr>
        <w:spacing w:lineRule="auto" w:line="240" w:before="0" w:after="0"/>
        <w:contextualSpacing/>
        <w:jc w:val="both"/>
        <w:rPr>
          <w:rFonts w:ascii="Times New Roman" w:hAnsi="Times New Roman" w:cs="Times New Roman"/>
          <w:sz w:val="24"/>
          <w:szCs w:val="24"/>
        </w:rPr>
      </w:pPr>
      <w:r>
        <w:rPr>
          <w:rFonts w:cs="Times New Roman" w:ascii="Times New Roman" w:hAnsi="Times New Roman"/>
          <w:b/>
          <w:sz w:val="24"/>
          <w:szCs w:val="24"/>
        </w:rPr>
        <w:t>Gestão estratégica de recursos:</w:t>
      </w:r>
      <w:r>
        <w:rPr>
          <w:rFonts w:cs="Times New Roman" w:ascii="Times New Roman" w:hAnsi="Times New Roman"/>
          <w:sz w:val="24"/>
          <w:szCs w:val="24"/>
        </w:rPr>
        <w:t xml:space="preserve"> Monitoramento de desempenho, avaliação contínua e investimentos sustentáveis para garantir prontidão operacional.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Esse modelo reforça a capacidade de resposta da empresa a demandas estratégicas, evitando reativações emergenciais onerosas e assegurando sua relevância para a segurança e desenvolvimento industrial do país.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8.20. Riscos Inerentes ao Negócio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 IMBEL</w:t>
      </w:r>
      <w:r>
        <w:rPr>
          <w:rFonts w:cs="Times New Roman" w:ascii="Times New Roman" w:hAnsi="Times New Roman"/>
          <w:sz w:val="24"/>
          <w:szCs w:val="24"/>
          <w:vertAlign w:val="superscript"/>
        </w:rPr>
        <w:t>®</w:t>
      </w:r>
      <w:r>
        <w:rPr>
          <w:rFonts w:cs="Times New Roman" w:ascii="Times New Roman" w:hAnsi="Times New Roman"/>
          <w:sz w:val="24"/>
          <w:szCs w:val="24"/>
        </w:rPr>
        <w:t>, na condição de Empresa Pública Dependente do Orçamento Federal, está sujeita aos seguintes riscos: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8.20.1.</w:t>
      </w:r>
      <w:r>
        <w:rPr>
          <w:rFonts w:cs="Times New Roman" w:ascii="Times New Roman" w:hAnsi="Times New Roman"/>
          <w:sz w:val="24"/>
          <w:szCs w:val="24"/>
        </w:rPr>
        <w:t xml:space="preserve"> Riscos Estratégicos: associados às decisões estratégicas da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para atingirem os seus objetivos estratégicos, e/ou decorrentes da falta de capacidade ou habilidade da Empresa para proteger-se ou adaptar-se a mudanças no ambiente e imagem;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8.20.2. </w:t>
      </w:r>
      <w:r>
        <w:rPr>
          <w:rFonts w:cs="Times New Roman" w:ascii="Times New Roman" w:hAnsi="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8.20.3.</w:t>
      </w:r>
      <w:r>
        <w:rPr>
          <w:rFonts w:cs="Times New Roman" w:ascii="Times New Roman" w:hAnsi="Times New Roman"/>
          <w:sz w:val="24"/>
          <w:szCs w:val="24"/>
        </w:rPr>
        <w:t xml:space="preserve"> Riscos de Conformidade ou </w:t>
      </w:r>
      <w:r>
        <w:rPr>
          <w:rFonts w:cs="Times New Roman" w:ascii="Times New Roman" w:hAnsi="Times New Roman"/>
          <w:i/>
          <w:sz w:val="24"/>
          <w:szCs w:val="24"/>
        </w:rPr>
        <w:t>"Compliance"</w:t>
      </w:r>
      <w:r>
        <w:rPr>
          <w:rFonts w:cs="Times New Roman" w:ascii="Times New Roman" w:hAnsi="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8.20.4. </w:t>
      </w:r>
      <w:r>
        <w:rPr>
          <w:rFonts w:cs="Times New Roman" w:ascii="Times New Roman" w:hAnsi="Times New Roman"/>
          <w:sz w:val="24"/>
          <w:szCs w:val="24"/>
        </w:rPr>
        <w:t xml:space="preserve">Riscos Financeiros: são classificados em: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8.20.4.1.</w:t>
      </w:r>
      <w:r>
        <w:rPr>
          <w:rFonts w:cs="Times New Roman" w:ascii="Times New Roman" w:hAnsi="Times New Roman"/>
          <w:sz w:val="24"/>
          <w:szCs w:val="24"/>
        </w:rPr>
        <w:t xml:space="preserve"> Riscos de Mercado, que decorrem da possibilidade de perdas que podem ser ocasionadas por mudanças no comportamento das taxas de juros, do câmbio e de outros fatores não previstos;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8.20.4.2. </w:t>
      </w:r>
      <w:r>
        <w:rPr>
          <w:rFonts w:cs="Times New Roman" w:ascii="Times New Roman" w:hAnsi="Times New Roman"/>
          <w:sz w:val="24"/>
          <w:szCs w:val="24"/>
        </w:rPr>
        <w:t>Riscos de crédito, definidos como a possibilidade de perda resultante da incerteza quanto ao recebimento de valores pactuados com tomadores de empréstimos, contrapartes de contratos ou emissões de títulos; 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8.20.4.3.</w:t>
      </w:r>
      <w:r>
        <w:rPr>
          <w:rFonts w:cs="Times New Roman" w:ascii="Times New Roman" w:hAnsi="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8.21. Moeda Funcional e de Apresentação</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 moeda funcional e de apresentação das demonstrações contábeis da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é o Real (R$).</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8.22. Redução ao Valor Recuperável </w:t>
      </w:r>
      <w:r>
        <w:rPr>
          <w:rFonts w:cs="Times New Roman" w:ascii="Times New Roman" w:hAnsi="Times New Roman"/>
          <w:b/>
          <w:i/>
          <w:sz w:val="24"/>
          <w:szCs w:val="24"/>
        </w:rPr>
        <w:t>(impairment)</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8.22.1. </w:t>
      </w:r>
      <w:r>
        <w:rPr>
          <w:rFonts w:cs="Times New Roman" w:ascii="Times New Roman" w:hAnsi="Times New Roman"/>
          <w:sz w:val="24"/>
          <w:szCs w:val="24"/>
        </w:rPr>
        <w:t>A empresa avalia na data do balanço se há alguma evidência objetiva que determine se um ativo, ou grupo de ativos, não é recuperável. Um ativo ou grupo de ativos é considerado como não recuperável se houver evidência objetiva de ausência de recuperabilidade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UGCs, calculado para o período de 5 anos. Aplicou-se uma taxa de desconto de 14,4%, baseada na soma das Taxas de Longo Prazo e taxa de risco. Esta última foi equiparada às taxas utilizadas por empresas similares no mercado em que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atua.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8.22.2.</w:t>
      </w:r>
      <w:r>
        <w:rPr>
          <w:rFonts w:cs="Times New Roman" w:ascii="Times New Roman" w:hAnsi="Times New Roman"/>
          <w:sz w:val="24"/>
          <w:szCs w:val="24"/>
        </w:rPr>
        <w:t xml:space="preserve"> Não foram observados, em 2025, indícios internos ou externos de desvalorização significativa em seus ativos, pois não houve registros de mudanças relevantes no ambiente tecnológico, de mercado, econômicos e legais da área comercial em que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atua. Também não ocorreram indicações que o valor do ativo diminuiu significativamente ao ponto de superar as expectativas dos resultados da passagem do tempo ou uso normal. Segue abaixo o resumo do teste de imparidade realizado em 2025:</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drawing>
          <wp:inline distT="0" distB="0" distL="0" distR="0">
            <wp:extent cx="6741795" cy="2647950"/>
            <wp:effectExtent l="0" t="0" r="0" b="0"/>
            <wp:docPr id="24"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m 43"/>
                    <pic:cNvPicPr>
                      <a:picLocks noChangeAspect="1" noChangeArrowheads="1"/>
                    </pic:cNvPicPr>
                  </pic:nvPicPr>
                  <pic:blipFill>
                    <a:blip r:embed="rId41"/>
                    <a:stretch>
                      <a:fillRect/>
                    </a:stretch>
                  </pic:blipFill>
                  <pic:spPr bwMode="auto">
                    <a:xfrm>
                      <a:off x="0" y="0"/>
                      <a:ext cx="6741795" cy="264795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8.23. Estimativas Contábeis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 elaboração das demonstrações contábeis está de acordo com as práticas contábeis adotadas no Brasil e 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às imprecisões inerentes ao processo de sua determinação. A Empresa revisa as estimativas e premissas anualmente.</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9. DISPONIBILIDADES</w:t>
      </w:r>
    </w:p>
    <w:p>
      <w:pPr>
        <w:pStyle w:val="Normal"/>
        <w:tabs>
          <w:tab w:val="clear" w:pos="907"/>
          <w:tab w:val="left" w:pos="9195" w:leader="none"/>
        </w:tabs>
        <w:spacing w:lineRule="auto" w:line="240" w:before="0" w:after="0"/>
        <w:jc w:val="both"/>
        <w:rPr>
          <w:rFonts w:ascii="Times New Roman" w:hAnsi="Times New Roman" w:cs="Times New Roman"/>
          <w:b/>
        </w:rPr>
      </w:pPr>
      <w:r>
        <w:rPr>
          <w:rFonts w:cs="Times New Roman" w:ascii="Times New Roman" w:hAnsi="Times New Roman"/>
          <w:b/>
          <w:szCs w:val="24"/>
        </w:rPr>
        <w:t xml:space="preserve">                                                                                                                                                                                     </w:t>
      </w:r>
      <w:r>
        <w:rPr>
          <w:rFonts w:cs="Times New Roman" w:ascii="Times New Roman" w:hAnsi="Times New Roman"/>
          <w:b/>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81800" cy="1343025"/>
            <wp:effectExtent l="0" t="0" r="0" b="0"/>
            <wp:docPr id="2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8"/>
                    <pic:cNvPicPr>
                      <a:picLocks noChangeAspect="1" noChangeArrowheads="1"/>
                    </pic:cNvPicPr>
                  </pic:nvPicPr>
                  <pic:blipFill>
                    <a:blip r:embed="rId42"/>
                    <a:stretch>
                      <a:fillRect/>
                    </a:stretch>
                  </pic:blipFill>
                  <pic:spPr bwMode="auto">
                    <a:xfrm>
                      <a:off x="0" y="0"/>
                      <a:ext cx="6781800" cy="13430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Composta por recursos próprios que foram recolhidos através da Guia de Recolhimento da União (GRU) na Conta Única do Tesouro Nacional. A movimentação dos valores registrados na rubrica é realizada pelo Sistema de Administração Financeira do Governo Federal (SIAFI).</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realizou aplicações financeiras junto ao Banco do Brasil, obtendo, no 1º TRIM 2026, rendimentos </w:t>
      </w:r>
      <w:r>
        <w:rPr>
          <w:rFonts w:cs="Times New Roman" w:ascii="Times New Roman" w:hAnsi="Times New Roman"/>
          <w:color w:themeColor="text1" w:val="000000"/>
          <w:sz w:val="16"/>
          <w:szCs w:val="24"/>
        </w:rPr>
        <w:t xml:space="preserve">de R$ 6.617.802,99. </w:t>
      </w:r>
      <w:r>
        <w:rPr>
          <w:rFonts w:cs="Times New Roman" w:ascii="Times New Roman" w:hAnsi="Times New Roman"/>
          <w:sz w:val="16"/>
          <w:szCs w:val="24"/>
        </w:rPr>
        <w:t>A IMBEL utiliza-se de procedimentos referentes às aplicações financeiras conforme as seguintes legislações:</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Decreto lei 1.290 de 3 DEZ/1973, art. 2º e 3º;</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Resolução 4.986 BACEN (Banco Central do Brasil) de 17/02/2022;</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Resolução 12/2010 CA/IMBEL</w:t>
      </w:r>
      <w:r>
        <w:rPr>
          <w:rFonts w:cs="Arial" w:ascii="Arial" w:hAnsi="Arial"/>
          <w:sz w:val="16"/>
          <w:szCs w:val="24"/>
        </w:rPr>
        <w:t>®</w:t>
      </w:r>
      <w:r>
        <w:rPr>
          <w:rFonts w:cs="Times New Roman" w:ascii="Times New Roman" w:hAnsi="Times New Roman"/>
          <w:sz w:val="16"/>
          <w:szCs w:val="24"/>
        </w:rPr>
        <w:t>, que autorizou a aplicação financeira da Empresa junto ao Banco do Brasil;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Macro Função SIAFI 0203505; e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IN 04 STN de 30/08/2004.</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Valor Referente a recebimento de cliente (RA) e obrigações não executadas no final do trimestre.</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10. CLIENTES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10.1.  Segmentação Curto Prazo (Ativo Circulante)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66560" cy="1095375"/>
            <wp:effectExtent l="0" t="0" r="0" b="0"/>
            <wp:docPr id="26"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7"/>
                    <pic:cNvPicPr>
                      <a:picLocks noChangeAspect="1" noChangeArrowheads="1"/>
                    </pic:cNvPicPr>
                  </pic:nvPicPr>
                  <pic:blipFill>
                    <a:blip r:embed="rId43"/>
                    <a:stretch>
                      <a:fillRect/>
                    </a:stretch>
                  </pic:blipFill>
                  <pic:spPr bwMode="auto">
                    <a:xfrm>
                      <a:off x="0" y="0"/>
                      <a:ext cx="6766560" cy="109537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Os recebimentos dos clientes da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se dão por meio de Guia de Recolhimento da União (GRU) e as antecipações orçamentárias de transferências, via SIAFI:</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10.1.1.  Provisão para Créditos de Liquidação Duvidosa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 rubrica "Provisão para Créditos de Liquidação Duvidosa" (PCLD) é constituída levando em consideração o seguinte quadro:</w:t>
      </w:r>
    </w:p>
    <w:p>
      <w:pPr>
        <w:pStyle w:val="Normal"/>
        <w:spacing w:lineRule="auto" w:line="240" w:before="0" w:after="0"/>
        <w:jc w:val="end"/>
        <w:rPr>
          <w:rFonts w:ascii="Times New Roman" w:hAnsi="Times New Roman" w:cs="Times New Roman"/>
          <w:b/>
          <w:sz w:val="24"/>
          <w:szCs w:val="24"/>
        </w:rPr>
      </w:pP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color w:themeColor="text1" w:val="000000"/>
          <w:sz w:val="16"/>
          <w:szCs w:val="24"/>
        </w:rPr>
      </w:pPr>
      <w:r>
        <w:rPr/>
        <w:drawing>
          <wp:inline distT="0" distB="0" distL="0" distR="0">
            <wp:extent cx="6714490" cy="2456815"/>
            <wp:effectExtent l="0" t="0" r="0" b="0"/>
            <wp:docPr id="27"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8"/>
                    <pic:cNvPicPr>
                      <a:picLocks noChangeAspect="1" noChangeArrowheads="1"/>
                    </pic:cNvPicPr>
                  </pic:nvPicPr>
                  <pic:blipFill>
                    <a:blip r:embed="rId44"/>
                    <a:stretch>
                      <a:fillRect/>
                    </a:stretch>
                  </pic:blipFill>
                  <pic:spPr bwMode="auto">
                    <a:xfrm>
                      <a:off x="0" y="0"/>
                      <a:ext cx="6714490" cy="2456815"/>
                    </a:xfrm>
                    <a:prstGeom prst="rect">
                      <a:avLst/>
                    </a:prstGeom>
                    <a:noFill/>
                  </pic:spPr>
                </pic:pic>
              </a:graphicData>
            </a:graphic>
          </wp:inline>
        </w:drawing>
      </w:r>
      <w:r>
        <w:rPr>
          <w:rFonts w:cs="Times New Roman" w:ascii="Times New Roman" w:hAnsi="Times New Roman"/>
          <w:sz w:val="24"/>
          <w:szCs w:val="24"/>
        </w:rPr>
        <w:t xml:space="preserve"> </w:t>
      </w:r>
      <w:r>
        <w:rPr>
          <w:rFonts w:cs="Times New Roman" w:ascii="Times New Roman" w:hAnsi="Times New Roman"/>
          <w:color w:themeColor="text1" w:val="000000"/>
          <w:sz w:val="16"/>
          <w:szCs w:val="24"/>
        </w:rPr>
        <w:t xml:space="preserve">(1) Excluídas as duplicatas de vendas aos Órgãos Públicos, dado a sazonalidade no comportamento desses clientes atrelados a seus respectivos trâmites orçamentários e cobranças administrativas. </w:t>
      </w:r>
    </w:p>
    <w:p>
      <w:pPr>
        <w:pStyle w:val="Normal"/>
        <w:spacing w:lineRule="auto" w:line="240" w:before="0" w:after="0"/>
        <w:jc w:val="both"/>
        <w:rPr>
          <w:rFonts w:ascii="Times New Roman" w:hAnsi="Times New Roman" w:cs="Times New Roman"/>
          <w:b/>
          <w:color w:themeColor="text1" w:val="000000"/>
          <w:sz w:val="24"/>
          <w:szCs w:val="24"/>
        </w:rPr>
      </w:pPr>
      <w:r>
        <w:rPr>
          <w:rFonts w:cs="Times New Roman" w:ascii="Times New Roman" w:hAnsi="Times New Roman"/>
          <w:b/>
          <w:color w:themeColor="text1" w:val="000000"/>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10.1.2.  Detalhamento de Clientes Por Filial</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17030" cy="3093085"/>
            <wp:effectExtent l="0" t="0" r="0" b="0"/>
            <wp:docPr id="28"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9"/>
                    <pic:cNvPicPr>
                      <a:picLocks noChangeAspect="1" noChangeArrowheads="1"/>
                    </pic:cNvPicPr>
                  </pic:nvPicPr>
                  <pic:blipFill>
                    <a:blip r:embed="rId45"/>
                    <a:stretch>
                      <a:fillRect/>
                    </a:stretch>
                  </pic:blipFill>
                  <pic:spPr bwMode="auto">
                    <a:xfrm>
                      <a:off x="0" y="0"/>
                      <a:ext cx="6717030" cy="309308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Os clientes registrados no circulante são referentes a contratos e os títulos vencidos nas filiais FPV, FMCE e FI estão em processo de cobrança administrativa. Os valores Registrados na REPI são referentes à venda do excedente de energia elétrica no mercado livre de energia conforme contrato.</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10.2.  Segmentação de Longo Prazo (Ativo Não Circulante)</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Cs w:val="24"/>
        </w:rPr>
      </w:pPr>
      <w:r>
        <w:rPr/>
        <w:drawing>
          <wp:inline distT="0" distB="0" distL="0" distR="0">
            <wp:extent cx="6737985" cy="1082675"/>
            <wp:effectExtent l="0" t="0" r="0" b="0"/>
            <wp:docPr id="29"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22"/>
                    <pic:cNvPicPr>
                      <a:picLocks noChangeAspect="1" noChangeArrowheads="1"/>
                    </pic:cNvPicPr>
                  </pic:nvPicPr>
                  <pic:blipFill>
                    <a:blip r:embed="rId46"/>
                    <a:stretch>
                      <a:fillRect/>
                    </a:stretch>
                  </pic:blipFill>
                  <pic:spPr bwMode="auto">
                    <a:xfrm>
                      <a:off x="0" y="0"/>
                      <a:ext cx="6737985" cy="108267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Os recebimentos dos clientes da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via Termo de Execução Descentralizada (TED), ocorrem por meio de antecipações orçamentárias de transferências dos Órgãos Públicos, via SIAFI, com os quais a empresa possui contratos de TED. A rubrica de Clientes </w:t>
      </w:r>
      <w:r>
        <w:rPr>
          <w:rFonts w:cs="Times New Roman" w:ascii="Times New Roman" w:hAnsi="Times New Roman"/>
          <w:color w:themeColor="text1" w:val="000000"/>
          <w:sz w:val="16"/>
          <w:szCs w:val="24"/>
        </w:rPr>
        <w:t>TED refere-se às entregas periódicas de produtos contratados e</w:t>
      </w:r>
      <w:r>
        <w:rPr>
          <w:rFonts w:cs="Times New Roman" w:ascii="Times New Roman" w:hAnsi="Times New Roman"/>
          <w:sz w:val="16"/>
          <w:szCs w:val="24"/>
        </w:rPr>
        <w:t xml:space="preserve"> foi reclassificada para longo prazo, por diversos fatores, a saber:</w:t>
      </w:r>
    </w:p>
    <w:p>
      <w:pPr>
        <w:pStyle w:val="ListParagraph"/>
        <w:numPr>
          <w:ilvl w:val="0"/>
          <w:numId w:val="7"/>
        </w:numPr>
        <w:spacing w:lineRule="auto" w:line="240" w:before="0" w:after="0"/>
        <w:ind w:hanging="142" w:start="142"/>
        <w:contextualSpacing/>
        <w:jc w:val="both"/>
        <w:rPr>
          <w:rFonts w:ascii="Times New Roman" w:hAnsi="Times New Roman" w:cs="Times New Roman"/>
          <w:sz w:val="16"/>
          <w:szCs w:val="24"/>
        </w:rPr>
      </w:pPr>
      <w:r>
        <w:rPr>
          <w:rFonts w:cs="Times New Roman" w:ascii="Times New Roman" w:hAnsi="Times New Roman"/>
          <w:sz w:val="16"/>
          <w:szCs w:val="24"/>
        </w:rPr>
        <w:t>Dificuldade na execução orçamentária na compra de matéria-prima internacional escassa para o produto devido à alta demanda mundial;</w:t>
      </w:r>
    </w:p>
    <w:p>
      <w:pPr>
        <w:pStyle w:val="ListParagraph"/>
        <w:numPr>
          <w:ilvl w:val="0"/>
          <w:numId w:val="7"/>
        </w:numPr>
        <w:spacing w:lineRule="auto" w:line="240" w:before="0" w:after="0"/>
        <w:ind w:hanging="142" w:start="142"/>
        <w:contextualSpacing/>
        <w:jc w:val="both"/>
        <w:rPr>
          <w:rFonts w:ascii="Times New Roman" w:hAnsi="Times New Roman" w:cs="Times New Roman"/>
          <w:sz w:val="16"/>
          <w:szCs w:val="24"/>
        </w:rPr>
      </w:pPr>
      <w:r>
        <w:rPr>
          <w:rFonts w:cs="Times New Roman" w:ascii="Times New Roman" w:hAnsi="Times New Roman"/>
          <w:sz w:val="16"/>
          <w:szCs w:val="24"/>
        </w:rPr>
        <w:t>Imprevisibilidade na entrega do produto pelo fato do processo produtivo ser longo; e</w:t>
      </w:r>
    </w:p>
    <w:p>
      <w:pPr>
        <w:pStyle w:val="ListParagraph"/>
        <w:numPr>
          <w:ilvl w:val="0"/>
          <w:numId w:val="7"/>
        </w:numPr>
        <w:spacing w:lineRule="auto" w:line="240" w:before="0" w:after="0"/>
        <w:ind w:hanging="142" w:start="142"/>
        <w:contextualSpacing/>
        <w:jc w:val="both"/>
        <w:rPr>
          <w:rFonts w:ascii="Times New Roman" w:hAnsi="Times New Roman" w:cs="Times New Roman"/>
          <w:b/>
          <w:sz w:val="24"/>
          <w:szCs w:val="24"/>
        </w:rPr>
      </w:pPr>
      <w:r>
        <w:rPr>
          <w:rFonts w:cs="Times New Roman" w:ascii="Times New Roman" w:hAnsi="Times New Roman"/>
          <w:sz w:val="16"/>
          <w:szCs w:val="24"/>
        </w:rPr>
        <w:t xml:space="preserve">Dependência do Órgão Público contratante para o encerramento da prestação de contas devido aos trâmites orçamentários;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(2) Em 2024, foi realizada uma reclassificação dos clientes judicializados no balanço patrimonial da Empresa, passando do circulante para o não circulante. Essa decisão foi baseada em uma análise detalhada dos trâmites judiciais associados a esses clientes, que indicou uma extensão significativa nos prazos de resolução dos processos em andamento.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10.2.1.  Provisão para Créditos de Liquidação Duvidosa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 rubrica "Provisão para Créditos de Liquidação Duvidosa" (PCLD) é constituída levando-se em consideração o seguinte quadro:</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Cs w:val="24"/>
        </w:rPr>
      </w:pPr>
      <w:r>
        <w:rPr/>
        <w:drawing>
          <wp:inline distT="0" distB="0" distL="0" distR="0">
            <wp:extent cx="6809740" cy="1221740"/>
            <wp:effectExtent l="0" t="0" r="0" b="0"/>
            <wp:docPr id="30"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10"/>
                    <pic:cNvPicPr>
                      <a:picLocks noChangeAspect="1" noChangeArrowheads="1"/>
                    </pic:cNvPicPr>
                  </pic:nvPicPr>
                  <pic:blipFill>
                    <a:blip r:embed="rId47"/>
                    <a:stretch>
                      <a:fillRect/>
                    </a:stretch>
                  </pic:blipFill>
                  <pic:spPr bwMode="auto">
                    <a:xfrm>
                      <a:off x="0" y="0"/>
                      <a:ext cx="6809740" cy="1221740"/>
                    </a:xfrm>
                    <a:prstGeom prst="rect">
                      <a:avLst/>
                    </a:prstGeom>
                    <a:noFill/>
                  </pic:spPr>
                </pic:pic>
              </a:graphicData>
            </a:graphic>
          </wp:inline>
        </w:drawing>
      </w:r>
    </w:p>
    <w:p>
      <w:pPr>
        <w:pStyle w:val="ListParagraph"/>
        <w:spacing w:lineRule="auto" w:line="240" w:before="0" w:after="0"/>
        <w:ind w:start="0"/>
        <w:contextualSpacing/>
        <w:jc w:val="both"/>
        <w:rPr>
          <w:rFonts w:ascii="Times New Roman" w:hAnsi="Times New Roman" w:cs="Times New Roman"/>
          <w:sz w:val="16"/>
          <w:szCs w:val="16"/>
        </w:rPr>
      </w:pPr>
      <w:r>
        <w:rPr>
          <w:rFonts w:cs="Times New Roman" w:ascii="Times New Roman" w:hAnsi="Times New Roman"/>
          <w:sz w:val="16"/>
          <w:szCs w:val="16"/>
        </w:rPr>
        <w:t>(1) Clientes judicializados aguardando os trâmites da justiça.</w:t>
      </w:r>
    </w:p>
    <w:p>
      <w:pPr>
        <w:pStyle w:val="Normal"/>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t>(2) A PCLD dos clientes a vencer refere-se às renegociações em andamento com novas datas de vencimentos das duplicatas com cobrança judicial. Os títulos de TED não há registro de PCLD.</w:t>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10.2.2.  Detalhamento de Clientes Por Filial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29730" cy="3759835"/>
            <wp:effectExtent l="0" t="0" r="0" b="0"/>
            <wp:docPr id="31"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11"/>
                    <pic:cNvPicPr>
                      <a:picLocks noChangeAspect="1" noChangeArrowheads="1"/>
                    </pic:cNvPicPr>
                  </pic:nvPicPr>
                  <pic:blipFill>
                    <a:blip r:embed="rId48"/>
                    <a:stretch>
                      <a:fillRect/>
                    </a:stretch>
                  </pic:blipFill>
                  <pic:spPr bwMode="auto">
                    <a:xfrm>
                      <a:off x="0" y="0"/>
                      <a:ext cx="6729730" cy="3759835"/>
                    </a:xfrm>
                    <a:prstGeom prst="rect">
                      <a:avLst/>
                    </a:prstGeom>
                    <a:noFill/>
                  </pic:spPr>
                </pic:pic>
              </a:graphicData>
            </a:graphic>
          </wp:inline>
        </w:drawing>
      </w:r>
    </w:p>
    <w:p>
      <w:pPr>
        <w:pStyle w:val="Normal"/>
        <w:spacing w:lineRule="auto" w:line="240" w:before="0" w:after="0"/>
        <w:jc w:val="both"/>
        <w:rPr>
          <w:rFonts w:ascii="Times New Roman" w:hAnsi="Times New Roman" w:cs="Times New Roman"/>
          <w:color w:themeColor="text1" w:val="000000"/>
          <w:sz w:val="16"/>
          <w:szCs w:val="16"/>
        </w:rPr>
      </w:pPr>
      <w:r>
        <w:rPr>
          <w:rFonts w:cs="Times New Roman" w:ascii="Times New Roman" w:hAnsi="Times New Roman"/>
          <w:color w:themeColor="text1" w:val="000000"/>
          <w:sz w:val="16"/>
          <w:szCs w:val="16"/>
        </w:rPr>
        <w:t>(1) Os registros de clientes, não circulante, são:</w:t>
      </w:r>
    </w:p>
    <w:p>
      <w:pPr>
        <w:pStyle w:val="Normal"/>
        <w:spacing w:lineRule="auto" w:line="240" w:before="0" w:after="0"/>
        <w:jc w:val="both"/>
        <w:rPr>
          <w:rFonts w:ascii="Times New Roman" w:hAnsi="Times New Roman" w:cs="Times New Roman"/>
          <w:color w:themeColor="text1" w:val="000000"/>
          <w:sz w:val="16"/>
          <w:szCs w:val="16"/>
        </w:rPr>
      </w:pPr>
      <w:r>
        <w:rPr>
          <w:rFonts w:cs="Times New Roman" w:ascii="Times New Roman" w:hAnsi="Times New Roman"/>
          <w:color w:themeColor="text1" w:val="000000"/>
          <w:sz w:val="16"/>
          <w:szCs w:val="16"/>
        </w:rPr>
        <w:t xml:space="preserve"> </w:t>
      </w:r>
      <w:r>
        <w:rPr>
          <w:rFonts w:cs="Times New Roman" w:ascii="Times New Roman" w:hAnsi="Times New Roman"/>
          <w:color w:themeColor="text1" w:val="000000"/>
          <w:sz w:val="16"/>
          <w:szCs w:val="16"/>
        </w:rPr>
        <w:t>a) a rubrica a vencer nas filiais FJF, FMCE, FI referem-se Termo de Execução Descentralizada (TED) em execução, na FE o valor de R$ 68 mil judicializados com pagamento acordado na justiça parcelado;</w:t>
      </w:r>
    </w:p>
    <w:p>
      <w:pPr>
        <w:pStyle w:val="Normal"/>
        <w:spacing w:lineRule="auto" w:line="240" w:before="0" w:after="0"/>
        <w:jc w:val="both"/>
        <w:rPr>
          <w:rFonts w:ascii="Times New Roman" w:hAnsi="Times New Roman" w:cs="Times New Roman"/>
          <w:color w:themeColor="text1" w:val="000000"/>
          <w:sz w:val="16"/>
          <w:szCs w:val="16"/>
        </w:rPr>
      </w:pPr>
      <w:r>
        <w:rPr>
          <w:rFonts w:cs="Times New Roman" w:ascii="Times New Roman" w:hAnsi="Times New Roman"/>
          <w:color w:themeColor="text1" w:val="000000"/>
          <w:sz w:val="16"/>
          <w:szCs w:val="16"/>
        </w:rPr>
        <w:t>b) o valor registrado na rubrica vencidos a 30 dias e de 31 a 60 dias referem-se a duas parcelas do judicializado vencido, na FE.</w:t>
      </w:r>
    </w:p>
    <w:p>
      <w:pPr>
        <w:pStyle w:val="Normal"/>
        <w:spacing w:lineRule="auto" w:line="240" w:before="0" w:after="0"/>
        <w:jc w:val="both"/>
        <w:rPr>
          <w:rFonts w:ascii="Times New Roman" w:hAnsi="Times New Roman" w:cs="Times New Roman"/>
          <w:color w:themeColor="text1" w:val="000000"/>
          <w:sz w:val="16"/>
          <w:szCs w:val="16"/>
        </w:rPr>
      </w:pPr>
      <w:r>
        <w:rPr>
          <w:rFonts w:cs="Times New Roman" w:ascii="Times New Roman" w:hAnsi="Times New Roman"/>
          <w:color w:themeColor="text1" w:val="000000"/>
          <w:sz w:val="16"/>
          <w:szCs w:val="16"/>
        </w:rPr>
        <w:t>c) os valores registrados no acima de 180 dias são títulos judicializados na FPV e na FE que estão aguardando os trâmites da justiça.</w:t>
      </w:r>
    </w:p>
    <w:p>
      <w:pPr>
        <w:pStyle w:val="Normal"/>
        <w:spacing w:lineRule="auto" w:line="240" w:before="0" w:after="0"/>
        <w:jc w:val="both"/>
        <w:rPr>
          <w:rFonts w:ascii="Times New Roman" w:hAnsi="Times New Roman" w:cs="Times New Roman"/>
          <w:color w:themeColor="text1" w:val="000000"/>
          <w:sz w:val="16"/>
          <w:szCs w:val="16"/>
        </w:rPr>
      </w:pPr>
      <w:r>
        <w:rPr>
          <w:rFonts w:cs="Times New Roman" w:ascii="Times New Roman" w:hAnsi="Times New Roman"/>
          <w:color w:themeColor="text1" w:val="000000"/>
          <w:sz w:val="16"/>
          <w:szCs w:val="16"/>
        </w:rPr>
        <w:t>(2) Os valores registrados na PCLD são os clientes judicializados aguardando os trâmites da justiça.</w:t>
      </w:r>
    </w:p>
    <w:p>
      <w:pPr>
        <w:pStyle w:val="Normal"/>
        <w:spacing w:lineRule="auto" w:line="240" w:before="0" w:after="0"/>
        <w:jc w:val="both"/>
        <w:rPr>
          <w:rFonts w:ascii="Times New Roman" w:hAnsi="Times New Roman" w:cs="Times New Roman"/>
          <w:b/>
          <w:color w:themeColor="text1" w:val="000000"/>
          <w:sz w:val="24"/>
          <w:szCs w:val="24"/>
        </w:rPr>
      </w:pPr>
      <w:r>
        <w:rPr>
          <w:rFonts w:cs="Times New Roman" w:ascii="Times New Roman" w:hAnsi="Times New Roman"/>
          <w:b/>
          <w:color w:themeColor="text1" w:val="000000"/>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11. ESTOQUES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16"/>
        </w:rPr>
      </w:pPr>
      <w:r>
        <w:rPr/>
        <w:drawing>
          <wp:inline distT="0" distB="0" distL="0" distR="0">
            <wp:extent cx="6822440" cy="2233295"/>
            <wp:effectExtent l="0" t="0" r="0" b="0"/>
            <wp:docPr id="32"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12"/>
                    <pic:cNvPicPr>
                      <a:picLocks noChangeAspect="1" noChangeArrowheads="1"/>
                    </pic:cNvPicPr>
                  </pic:nvPicPr>
                  <pic:blipFill>
                    <a:blip r:embed="rId49"/>
                    <a:stretch>
                      <a:fillRect/>
                    </a:stretch>
                  </pic:blipFill>
                  <pic:spPr bwMode="auto">
                    <a:xfrm>
                      <a:off x="0" y="0"/>
                      <a:ext cx="6822440" cy="2233295"/>
                    </a:xfrm>
                    <a:prstGeom prst="rect">
                      <a:avLst/>
                    </a:prstGeom>
                    <a:noFill/>
                  </pic:spPr>
                </pic:pic>
              </a:graphicData>
            </a:graphic>
          </wp:inline>
        </w:drawing>
      </w:r>
      <w:r>
        <w:rPr>
          <w:rFonts w:cs="Times New Roman" w:ascii="Times New Roman" w:hAnsi="Times New Roman"/>
          <w:sz w:val="16"/>
          <w:szCs w:val="16"/>
        </w:rPr>
        <w:t xml:space="preserve"> </w:t>
      </w:r>
      <w:r>
        <w:rPr>
          <w:rFonts w:cs="Times New Roman" w:ascii="Times New Roman" w:hAnsi="Times New Roman"/>
          <w:sz w:val="16"/>
          <w:szCs w:val="16"/>
        </w:rPr>
        <w:t>(1) O custo dos estoques da IMBEL</w:t>
      </w:r>
      <w:r>
        <w:rPr>
          <w:rFonts w:cs="Times New Roman" w:ascii="Times New Roman" w:hAnsi="Times New Roman"/>
          <w:sz w:val="16"/>
          <w:szCs w:val="16"/>
          <w:vertAlign w:val="superscript"/>
        </w:rPr>
        <w:t>®</w:t>
      </w:r>
      <w:r>
        <w:rPr>
          <w:rFonts w:cs="Times New Roman" w:ascii="Times New Roman" w:hAnsi="Times New Roman"/>
          <w:sz w:val="16"/>
          <w:szCs w:val="16"/>
        </w:rPr>
        <w:t xml:space="preserve"> está relacionado diretamente ao motivo de sua continuidade operacional, e sua existência estratégica em conexão com o Artigo 4º do seu Estatuto Social. Compreende os insumos aplicados na produção industrial para produtos estratégicos de defesa, sendo que existem as seguintes metodologias, políticas e situações:</w:t>
      </w:r>
    </w:p>
    <w:p>
      <w:pPr>
        <w:pStyle w:val="ListParagraph"/>
        <w:numPr>
          <w:ilvl w:val="0"/>
          <w:numId w:val="4"/>
        </w:numPr>
        <w:spacing w:lineRule="auto" w:line="240" w:before="0" w:after="0"/>
        <w:ind w:hanging="142" w:start="142"/>
        <w:contextualSpacing/>
        <w:jc w:val="both"/>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O estoque tem um ciclo médio de 365 dias;</w:t>
      </w:r>
    </w:p>
    <w:p>
      <w:pPr>
        <w:pStyle w:val="ListParagraph"/>
        <w:spacing w:lineRule="auto" w:line="240" w:before="0" w:after="0"/>
        <w:ind w:start="0"/>
        <w:contextualSpacing/>
        <w:jc w:val="both"/>
        <w:rPr>
          <w:rFonts w:ascii="Times New Roman" w:hAnsi="Times New Roman" w:cs="Times New Roman"/>
          <w:sz w:val="16"/>
          <w:szCs w:val="16"/>
        </w:rPr>
      </w:pPr>
      <w:r>
        <w:rPr>
          <w:rFonts w:cs="Times New Roman" w:ascii="Times New Roman" w:hAnsi="Times New Roman"/>
          <w:sz w:val="16"/>
          <w:szCs w:val="16"/>
        </w:rPr>
        <w:t xml:space="preserve">b) A reposição do estoque é realizada de forma periódica devido aos longos trâmites orçamentários e licitatórios. Há uma definição dos estoques mínimos (de segurança) e máximos, sendo que o ponto de pedido de clientes é o gatilho para a reposição; </w:t>
      </w:r>
    </w:p>
    <w:p>
      <w:pPr>
        <w:pStyle w:val="ListParagraph"/>
        <w:numPr>
          <w:ilvl w:val="0"/>
          <w:numId w:val="6"/>
        </w:numPr>
        <w:spacing w:lineRule="auto" w:line="240" w:before="0" w:after="0"/>
        <w:ind w:hanging="142" w:start="142"/>
        <w:contextualSpacing/>
        <w:jc w:val="both"/>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Para o controle do estoque é adotado o inventário cíclico mensal e o inventário anual, além da conferência periódica de fichas de estocagens;</w:t>
      </w:r>
    </w:p>
    <w:p>
      <w:pPr>
        <w:pStyle w:val="ListParagraph"/>
        <w:spacing w:lineRule="auto" w:line="240" w:before="0" w:after="0"/>
        <w:ind w:start="0"/>
        <w:contextualSpacing/>
        <w:jc w:val="both"/>
        <w:rPr>
          <w:rFonts w:ascii="Times New Roman" w:hAnsi="Times New Roman" w:cs="Times New Roman"/>
          <w:sz w:val="16"/>
          <w:szCs w:val="16"/>
        </w:rPr>
      </w:pPr>
      <w:r>
        <w:rPr>
          <w:rFonts w:cs="Times New Roman" w:ascii="Times New Roman" w:hAnsi="Times New Roman"/>
          <w:sz w:val="16"/>
          <w:szCs w:val="16"/>
        </w:rPr>
        <w:t>d) O controle de validade dos insumos é realizado por meio do sistema ERP TOTVS, sendo adotado o conceito FIFO (</w:t>
      </w:r>
      <w:r>
        <w:rPr>
          <w:rFonts w:cs="Times New Roman" w:ascii="Times New Roman" w:hAnsi="Times New Roman"/>
          <w:i/>
          <w:sz w:val="16"/>
          <w:szCs w:val="16"/>
        </w:rPr>
        <w:t>First in, First out</w:t>
      </w:r>
      <w:r>
        <w:rPr>
          <w:rFonts w:cs="Times New Roman" w:ascii="Times New Roman" w:hAnsi="Times New Roman"/>
          <w:sz w:val="16"/>
          <w:szCs w:val="16"/>
        </w:rPr>
        <w:t>) para garantir a correta utilização. No entanto, caso ocorra o vencimento do insumo, é analisada a possibilidade de revalidação e posteriormente a baixa contábil, sendo este o último recurso, se necessário;</w:t>
      </w:r>
    </w:p>
    <w:p>
      <w:pPr>
        <w:pStyle w:val="Normal"/>
        <w:spacing w:lineRule="auto" w:line="240" w:before="0" w:after="0"/>
        <w:ind w:hanging="567" w:start="567"/>
        <w:jc w:val="both"/>
        <w:rPr>
          <w:rFonts w:ascii="Times New Roman" w:hAnsi="Times New Roman" w:cs="Times New Roman"/>
          <w:sz w:val="16"/>
          <w:szCs w:val="16"/>
        </w:rPr>
      </w:pPr>
      <w:r>
        <w:rPr>
          <w:rFonts w:cs="Times New Roman" w:ascii="Times New Roman" w:hAnsi="Times New Roman"/>
          <w:sz w:val="16"/>
          <w:szCs w:val="16"/>
        </w:rPr>
        <w:t>e) O critério de avaliação dos estoques é a média ponderável móvel; e</w:t>
      </w:r>
    </w:p>
    <w:p>
      <w:pPr>
        <w:pStyle w:val="Normal"/>
        <w:spacing w:lineRule="auto" w:line="240" w:before="0" w:after="0"/>
        <w:ind w:hanging="142"/>
        <w:jc w:val="both"/>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f) todo produto acabado da IMBEL</w:t>
      </w:r>
      <w:r>
        <w:rPr>
          <w:rFonts w:cs="Times New Roman" w:ascii="Times New Roman" w:hAnsi="Times New Roman"/>
          <w:sz w:val="16"/>
          <w:szCs w:val="16"/>
          <w:vertAlign w:val="superscript"/>
        </w:rPr>
        <w:t>®</w:t>
      </w:r>
      <w:r>
        <w:rPr>
          <w:rFonts w:cs="Times New Roman" w:ascii="Times New Roman" w:hAnsi="Times New Roman"/>
          <w:sz w:val="16"/>
          <w:szCs w:val="16"/>
        </w:rPr>
        <w:t xml:space="preserve"> está vinculado a um contrato já definido ou uma expectativa de venda tratada junto à Diretoria Comercial da Empresa.</w:t>
      </w:r>
    </w:p>
    <w:p>
      <w:pPr>
        <w:pStyle w:val="Normal"/>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t>(2) Os critérios adotados pela IMBEL</w:t>
      </w:r>
      <w:r>
        <w:rPr>
          <w:rFonts w:cs="Times New Roman" w:ascii="Times New Roman" w:hAnsi="Times New Roman"/>
          <w:sz w:val="16"/>
          <w:szCs w:val="16"/>
          <w:vertAlign w:val="superscript"/>
        </w:rPr>
        <w:t>®</w:t>
      </w:r>
      <w:r>
        <w:rPr>
          <w:rFonts w:cs="Times New Roman" w:ascii="Times New Roman" w:hAnsi="Times New Roman"/>
          <w:sz w:val="16"/>
          <w:szCs w:val="16"/>
        </w:rPr>
        <w:t>, com base no Comitê de Pronunciamentos Contábeis nª16, para a provisão de perdas são:</w:t>
      </w:r>
    </w:p>
    <w:p>
      <w:pPr>
        <w:pStyle w:val="ListParagraph"/>
        <w:numPr>
          <w:ilvl w:val="0"/>
          <w:numId w:val="3"/>
        </w:numPr>
        <w:spacing w:lineRule="auto" w:line="240" w:before="0" w:after="0"/>
        <w:ind w:hanging="142" w:start="142"/>
        <w:contextualSpacing/>
        <w:jc w:val="both"/>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Material reprovado;</w:t>
      </w:r>
    </w:p>
    <w:p>
      <w:pPr>
        <w:pStyle w:val="ListParagraph"/>
        <w:numPr>
          <w:ilvl w:val="0"/>
          <w:numId w:val="3"/>
        </w:numPr>
        <w:spacing w:lineRule="auto" w:line="240" w:before="0" w:after="0"/>
        <w:ind w:hanging="142" w:start="142"/>
        <w:contextualSpacing/>
        <w:jc w:val="both"/>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Material obsoleto;</w:t>
      </w:r>
    </w:p>
    <w:p>
      <w:pPr>
        <w:pStyle w:val="ListParagraph"/>
        <w:numPr>
          <w:ilvl w:val="0"/>
          <w:numId w:val="3"/>
        </w:numPr>
        <w:spacing w:lineRule="auto" w:line="240" w:before="0" w:after="0"/>
        <w:ind w:hanging="142" w:start="142"/>
        <w:contextualSpacing/>
        <w:jc w:val="both"/>
        <w:rPr>
          <w:rFonts w:ascii="Times New Roman" w:hAnsi="Times New Roman" w:cs="Times New Roman"/>
          <w:sz w:val="16"/>
          <w:szCs w:val="16"/>
        </w:rPr>
      </w:pPr>
      <w:r>
        <w:rPr>
          <w:rFonts w:cs="Times New Roman" w:ascii="Times New Roman" w:hAnsi="Times New Roman"/>
          <w:sz w:val="16"/>
          <w:szCs w:val="16"/>
        </w:rPr>
        <w:t xml:space="preserve"> </w:t>
      </w:r>
      <w:r>
        <w:rPr>
          <w:rFonts w:cs="Times New Roman" w:ascii="Times New Roman" w:hAnsi="Times New Roman"/>
          <w:sz w:val="16"/>
          <w:szCs w:val="16"/>
        </w:rPr>
        <w:t>Validade do produto; e</w:t>
      </w:r>
    </w:p>
    <w:p>
      <w:pPr>
        <w:pStyle w:val="ListParagraph"/>
        <w:numPr>
          <w:ilvl w:val="0"/>
          <w:numId w:val="3"/>
        </w:numPr>
        <w:spacing w:lineRule="auto" w:line="240" w:before="0" w:after="0"/>
        <w:ind w:hanging="142" w:start="142"/>
        <w:contextualSpacing/>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Outros motivos que o engenheiro fabril achar conveniente em sua avaliação.</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A baixa definitiva da provisão de perdas de estoques para a despesa se dá pelo descarte, destruição (material explosivo) ou leilão (sucata).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(3)</w:t>
      </w:r>
      <w:r>
        <w:rPr>
          <w:rFonts w:cs="Times New Roman" w:ascii="Times New Roman" w:hAnsi="Times New Roman"/>
          <w:sz w:val="24"/>
          <w:szCs w:val="24"/>
        </w:rPr>
        <w:t xml:space="preserve"> </w:t>
      </w:r>
      <w:r>
        <w:rPr>
          <w:rFonts w:cs="Times New Roman" w:ascii="Times New Roman" w:hAnsi="Times New Roman"/>
          <w:sz w:val="16"/>
          <w:szCs w:val="24"/>
        </w:rPr>
        <w:t>Em virtude da atividade industrial da qual 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pratica são necessárias situações de adiantamento de fornecedores, amparados pelas seguintes legislações: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a) Lei 4.320, de 17 de março de 1964, que em seu Art. 65 estabelece: “O pagamento da despesa será efetuado por tesouraria ou pagadoria regularmente instituída por estabelecimentos bancários credenciados e, em casos excepcionais, por meio de adiantamento”, e</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b) Decreto nº 93.872, de 13 de dezembro de 1986, que no caso concreto, no Art. 38, assim descrito: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bCs/>
          <w:sz w:val="16"/>
          <w:szCs w:val="24"/>
        </w:rPr>
        <w:t xml:space="preserve">A metodologia que a </w:t>
      </w:r>
      <w:r>
        <w:rPr>
          <w:rFonts w:cs="Times New Roman" w:ascii="Times New Roman" w:hAnsi="Times New Roman"/>
          <w:sz w:val="16"/>
          <w:szCs w:val="24"/>
        </w:rPr>
        <w:t>IMBEL</w:t>
      </w:r>
      <w:r>
        <w:rPr>
          <w:rFonts w:cs="Times New Roman" w:ascii="Times New Roman" w:hAnsi="Times New Roman"/>
          <w:sz w:val="16"/>
          <w:szCs w:val="24"/>
          <w:vertAlign w:val="superscript"/>
        </w:rPr>
        <w:t>®</w:t>
      </w:r>
      <w:r>
        <w:rPr>
          <w:rFonts w:cs="Times New Roman" w:ascii="Times New Roman" w:hAnsi="Times New Roman"/>
          <w:bCs/>
          <w:sz w:val="16"/>
          <w:szCs w:val="24"/>
        </w:rPr>
        <w:t xml:space="preserve"> utiliza para a valoração do seu estoque é Custeio por Absorção Integral, que consiste num</w:t>
      </w:r>
      <w:r>
        <w:rPr>
          <w:rFonts w:cs="Times New Roman" w:ascii="Times New Roman" w:hAnsi="Times New Roman"/>
          <w:sz w:val="16"/>
          <w:szCs w:val="24"/>
        </w:rPr>
        <w:t xml:space="preserve"> método que atribui aos produtos fabricados todos os custos de produção, quer de forma direta ou indireta.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color w:val="FF0000"/>
          <w:sz w:val="24"/>
          <w:szCs w:val="24"/>
        </w:rPr>
      </w:pPr>
      <w:r>
        <w:rPr>
          <w:rFonts w:cs="Times New Roman" w:ascii="Times New Roman" w:hAnsi="Times New Roman"/>
          <w:b/>
          <w:sz w:val="24"/>
          <w:szCs w:val="24"/>
        </w:rPr>
        <w:t>12. IMPOSTOS A RECUPERAR</w:t>
      </w:r>
      <w:bookmarkStart w:id="0" w:name="_MON_1693975964"/>
      <w:bookmarkEnd w:id="0"/>
      <w:r>
        <w:rPr>
          <w:rFonts w:cs="Times New Roman" w:ascii="Times New Roman" w:hAnsi="Times New Roman"/>
          <w:b/>
          <w:sz w:val="24"/>
          <w:szCs w:val="24"/>
        </w:rPr>
        <w:t xml:space="preserv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62750" cy="1714500"/>
            <wp:effectExtent l="0" t="0" r="0" b="0"/>
            <wp:docPr id="33"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13"/>
                    <pic:cNvPicPr>
                      <a:picLocks noChangeAspect="1" noChangeArrowheads="1"/>
                    </pic:cNvPicPr>
                  </pic:nvPicPr>
                  <pic:blipFill>
                    <a:blip r:embed="rId50"/>
                    <a:stretch>
                      <a:fillRect/>
                    </a:stretch>
                  </pic:blipFill>
                  <pic:spPr bwMode="auto">
                    <a:xfrm>
                      <a:off x="0" y="0"/>
                      <a:ext cx="6762750" cy="17145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(1) O valor referente as solicitações de restituição de IRPJ dos exercícios de 2019 e 2020 foram homologados pela Receita Federal do Brasil e a IMBEL</w:t>
      </w:r>
      <w:r>
        <w:rPr>
          <w:rFonts w:cs="Times New Roman" w:ascii="Times New Roman" w:hAnsi="Times New Roman"/>
          <w:color w:themeColor="text1" w:val="000000"/>
          <w:sz w:val="16"/>
          <w:szCs w:val="24"/>
          <w:vertAlign w:val="superscript"/>
        </w:rPr>
        <w:t>®</w:t>
      </w:r>
      <w:r>
        <w:rPr>
          <w:rFonts w:cs="Times New Roman" w:ascii="Times New Roman" w:hAnsi="Times New Roman"/>
          <w:color w:themeColor="text1" w:val="000000"/>
          <w:sz w:val="16"/>
          <w:szCs w:val="24"/>
        </w:rPr>
        <w:t xml:space="preserve"> </w:t>
      </w:r>
      <w:r>
        <w:rPr>
          <w:rFonts w:cs="Times New Roman" w:ascii="Times New Roman" w:hAnsi="Times New Roman"/>
          <w:sz w:val="16"/>
          <w:szCs w:val="24"/>
        </w:rPr>
        <w:t xml:space="preserve">recebeu no 1º TRIM 2026 os valores das restituições atualizadas.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13. DESPESAS ANTECIPADAS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4"/>
          <w:szCs w:val="4"/>
        </w:rPr>
      </w:pPr>
      <w:r>
        <w:rPr>
          <w:rFonts w:cs="Times New Roman" w:ascii="Times New Roman" w:hAnsi="Times New Roman"/>
          <w:b/>
          <w:sz w:val="4"/>
          <w:szCs w:val="4"/>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1343025"/>
            <wp:effectExtent l="0" t="0" r="0" b="0"/>
            <wp:docPr id="34"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14"/>
                    <pic:cNvPicPr>
                      <a:picLocks noChangeAspect="1" noChangeArrowheads="1"/>
                    </pic:cNvPicPr>
                  </pic:nvPicPr>
                  <pic:blipFill>
                    <a:blip r:embed="rId51"/>
                    <a:stretch>
                      <a:fillRect/>
                    </a:stretch>
                  </pic:blipFill>
                  <pic:spPr bwMode="auto">
                    <a:xfrm>
                      <a:off x="0" y="0"/>
                      <a:ext cx="6750685" cy="1343025"/>
                    </a:xfrm>
                    <a:prstGeom prst="rect">
                      <a:avLst/>
                    </a:prstGeom>
                    <a:noFill/>
                  </pic:spPr>
                </pic:pic>
              </a:graphicData>
            </a:graphic>
          </wp:inline>
        </w:drawing>
      </w:r>
    </w:p>
    <w:p>
      <w:pPr>
        <w:pStyle w:val="Normal"/>
        <w:spacing w:lineRule="auto" w:line="240" w:before="0" w:after="0"/>
        <w:rPr>
          <w:rFonts w:ascii="Times New Roman" w:hAnsi="Times New Roman" w:cs="Times New Roman"/>
          <w:sz w:val="16"/>
          <w:szCs w:val="24"/>
        </w:rPr>
      </w:pPr>
      <w:r>
        <w:rPr>
          <w:rFonts w:cs="Times New Roman" w:ascii="Times New Roman" w:hAnsi="Times New Roman"/>
          <w:sz w:val="16"/>
          <w:szCs w:val="24"/>
        </w:rPr>
        <w:t>(1)</w:t>
      </w:r>
      <w:r>
        <w:rPr>
          <w:rFonts w:cs="Times New Roman" w:ascii="Times New Roman" w:hAnsi="Times New Roman"/>
          <w:sz w:val="24"/>
          <w:szCs w:val="24"/>
        </w:rPr>
        <w:t xml:space="preserve"> </w:t>
      </w:r>
      <w:r>
        <w:rPr>
          <w:rFonts w:cs="Times New Roman" w:ascii="Times New Roman" w:hAnsi="Times New Roman"/>
          <w:sz w:val="16"/>
          <w:szCs w:val="24"/>
        </w:rPr>
        <w:t>Referem-se às ordens em aberto das industrializações por encomenda e serviços de armazenamento de material;</w:t>
      </w:r>
    </w:p>
    <w:p>
      <w:pPr>
        <w:pStyle w:val="Normal"/>
        <w:spacing w:lineRule="auto" w:line="240" w:before="0" w:after="0"/>
        <w:rPr>
          <w:rFonts w:ascii="Times New Roman" w:hAnsi="Times New Roman" w:cs="Times New Roman"/>
          <w:sz w:val="16"/>
          <w:szCs w:val="24"/>
        </w:rPr>
      </w:pPr>
      <w:r>
        <w:rPr>
          <w:rFonts w:cs="Times New Roman" w:ascii="Times New Roman" w:hAnsi="Times New Roman"/>
          <w:sz w:val="16"/>
          <w:szCs w:val="24"/>
        </w:rPr>
        <w:t>(2) Referem-se a ordens de serviços em aberto para manutenções na filial FMCE;</w:t>
      </w:r>
    </w:p>
    <w:p>
      <w:pPr>
        <w:pStyle w:val="Normal"/>
        <w:spacing w:lineRule="auto" w:line="240" w:before="0" w:after="0"/>
        <w:rPr>
          <w:rFonts w:ascii="Times New Roman" w:hAnsi="Times New Roman" w:cs="Times New Roman"/>
          <w:sz w:val="16"/>
          <w:szCs w:val="24"/>
        </w:rPr>
      </w:pPr>
      <w:r>
        <w:rPr>
          <w:rFonts w:cs="Times New Roman" w:ascii="Times New Roman" w:hAnsi="Times New Roman"/>
          <w:sz w:val="16"/>
          <w:szCs w:val="24"/>
        </w:rPr>
        <w:t>(3) Referem-se a seguros de carros da empresa a ser apropriado na vigência do contrato.</w:t>
      </w:r>
    </w:p>
    <w:p>
      <w:pPr>
        <w:pStyle w:val="Normal"/>
        <w:spacing w:lineRule="auto" w:line="240" w:before="0" w:after="0"/>
        <w:rPr>
          <w:rFonts w:ascii="Times New Roman" w:hAnsi="Times New Roman" w:cs="Times New Roman"/>
          <w:sz w:val="16"/>
          <w:szCs w:val="24"/>
        </w:rPr>
      </w:pPr>
      <w:r>
        <w:rPr>
          <w:rFonts w:cs="Times New Roman" w:ascii="Times New Roman" w:hAnsi="Times New Roman"/>
          <w:sz w:val="16"/>
          <w:szCs w:val="24"/>
        </w:rPr>
      </w:r>
    </w:p>
    <w:p>
      <w:pPr>
        <w:pStyle w:val="Normal"/>
        <w:tabs>
          <w:tab w:val="clear" w:pos="907"/>
          <w:tab w:val="left" w:pos="7350" w:leader="none"/>
        </w:tabs>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14. OUTROS CRÉDITOS</w:t>
        <w:tab/>
      </w:r>
    </w:p>
    <w:p>
      <w:pPr>
        <w:pStyle w:val="Normal"/>
        <w:tabs>
          <w:tab w:val="clear" w:pos="907"/>
          <w:tab w:val="left" w:pos="7350" w:leader="none"/>
        </w:tabs>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ab/>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50685" cy="1851025"/>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35"/>
                    <pic:cNvPicPr>
                      <a:picLocks noChangeAspect="1" noChangeArrowheads="1"/>
                    </pic:cNvPicPr>
                  </pic:nvPicPr>
                  <pic:blipFill>
                    <a:blip r:embed="rId52"/>
                    <a:stretch>
                      <a:fillRect/>
                    </a:stretch>
                  </pic:blipFill>
                  <pic:spPr bwMode="auto">
                    <a:xfrm>
                      <a:off x="0" y="0"/>
                      <a:ext cx="6750685" cy="18510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6"/>
          <w:szCs w:val="24"/>
        </w:rPr>
      </w:pPr>
      <w:r>
        <w:rPr>
          <w:rFonts w:cs="Times New Roman" w:ascii="Times New Roman" w:hAnsi="Times New Roman"/>
          <w:sz w:val="6"/>
          <w:szCs w:val="24"/>
        </w:rPr>
      </w:r>
    </w:p>
    <w:p>
      <w:pPr>
        <w:pStyle w:val="Normal"/>
        <w:spacing w:lineRule="auto" w:line="240" w:before="0" w:after="0"/>
        <w:jc w:val="both"/>
        <w:rPr>
          <w:rFonts w:ascii="Times New Roman" w:hAnsi="Times New Roman" w:cs="Times New Roman"/>
          <w:color w:val="FF0000"/>
          <w:sz w:val="16"/>
          <w:szCs w:val="24"/>
        </w:rPr>
      </w:pPr>
      <w:r>
        <w:rPr>
          <w:rFonts w:cs="Times New Roman" w:ascii="Times New Roman" w:hAnsi="Times New Roman"/>
          <w:sz w:val="16"/>
          <w:szCs w:val="24"/>
        </w:rPr>
        <w:t>(1) Referem-se, principalmente, a depósitos recursais provenientes de processos trabalhistas ajuizados contra a IMBEL</w:t>
      </w:r>
      <w:r>
        <w:rPr>
          <w:rFonts w:cs="Times New Roman" w:ascii="Times New Roman" w:hAnsi="Times New Roman"/>
          <w:sz w:val="16"/>
          <w:szCs w:val="24"/>
          <w:vertAlign w:val="superscript"/>
        </w:rPr>
        <w:t>®</w:t>
      </w:r>
      <w:r>
        <w:rPr>
          <w:rFonts w:cs="Times New Roman" w:ascii="Times New Roman" w:hAnsi="Times New Roman"/>
          <w:sz w:val="16"/>
          <w:szCs w:val="24"/>
        </w:rPr>
        <w:t>, ficando depositado em conta judicial, sendo os valores atualizados por ocasião do pagamento das sentenças conforme Art.199 da CLT e IN nº 3 TST.</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Refere-se ao imóvel localizado em Grajaú, Município do Rio de Janeiro/RJ, desapropriado pela Prefeitura em 2003, o processo nº 0154181-62.2015.4.02-5101 encontra-se na fase de levantamento de valores a receber em favor da IMBEL</w:t>
      </w:r>
      <w:r>
        <w:rPr>
          <w:rFonts w:cs="Times New Roman" w:ascii="Times New Roman" w:hAnsi="Times New Roman"/>
          <w:sz w:val="16"/>
          <w:szCs w:val="24"/>
          <w:vertAlign w:val="superscript"/>
        </w:rPr>
        <w:t>®</w:t>
      </w:r>
      <w:r>
        <w:rPr>
          <w:rFonts w:cs="Times New Roman" w:ascii="Times New Roman" w:hAnsi="Times New Roman"/>
          <w:sz w:val="16"/>
          <w:szCs w:val="24"/>
        </w:rPr>
        <w:t>.</w:t>
      </w:r>
    </w:p>
    <w:p>
      <w:pPr>
        <w:pStyle w:val="Normal"/>
        <w:tabs>
          <w:tab w:val="clear" w:pos="907"/>
          <w:tab w:val="left" w:pos="6045" w:leader="none"/>
        </w:tabs>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(3) Refere-se ao processo judicial n 0010676-69.2010.5.03.6100 </w:t>
      </w:r>
      <w:r>
        <w:rPr>
          <w:rFonts w:cs="Times New Roman" w:ascii="Times New Roman" w:hAnsi="Times New Roman"/>
          <w:color w:themeColor="text1" w:val="000000"/>
          <w:sz w:val="16"/>
          <w:szCs w:val="24"/>
        </w:rPr>
        <w:t>é de natureza civil contra fornecedor por descumprimento de contrato na aquisição de insumos</w:t>
      </w:r>
      <w:r>
        <w:rPr>
          <w:rFonts w:cs="Times New Roman" w:ascii="Times New Roman" w:hAnsi="Times New Roman"/>
          <w:sz w:val="16"/>
          <w:szCs w:val="24"/>
        </w:rPr>
        <w:t>, 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é autora, o processo encontra-se com decisão transitada e julgada e em fase de execução.</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(4) Refere-se à caução de contrato com fornecedor em execução.</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(5) Referem-se a alugueis de imóveis para a prefeitura de Magé - RJ, cuja quitação é através termo de encontro de contas para quitação de impostos sobre propriedade (IPTU) conciliada e homologada entre as partes no final do exercício de cada ano.</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(6) Refere-se a credito de ICMS sobre ativo imobilizado (CIAP - Controle de crédito do ICMS do ativo permanente) conforme lei Complementar nº 102/00 sendo aproveitado ao longo de 48 meses.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15. INVESTIMENTOS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 xml:space="preserve">R$ mil                                                 </w:t>
      </w:r>
    </w:p>
    <w:p>
      <w:pPr>
        <w:pStyle w:val="Normal"/>
        <w:spacing w:lineRule="auto" w:line="240" w:before="0" w:after="0"/>
        <w:jc w:val="both"/>
        <w:rPr>
          <w:rFonts w:ascii="Times New Roman" w:hAnsi="Times New Roman" w:cs="Times New Roman"/>
          <w:color w:themeColor="text1" w:val="000000"/>
          <w:sz w:val="16"/>
          <w:szCs w:val="24"/>
        </w:rPr>
      </w:pPr>
      <w:r>
        <w:rPr/>
        <w:drawing>
          <wp:inline distT="0" distB="0" distL="0" distR="0">
            <wp:extent cx="6848475" cy="116205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m 36"/>
                    <pic:cNvPicPr>
                      <a:picLocks noChangeAspect="1" noChangeArrowheads="1"/>
                    </pic:cNvPicPr>
                  </pic:nvPicPr>
                  <pic:blipFill>
                    <a:blip r:embed="rId53"/>
                    <a:stretch>
                      <a:fillRect/>
                    </a:stretch>
                  </pic:blipFill>
                  <pic:spPr bwMode="auto">
                    <a:xfrm>
                      <a:off x="0" y="0"/>
                      <a:ext cx="6848475" cy="1162050"/>
                    </a:xfrm>
                    <a:prstGeom prst="rect">
                      <a:avLst/>
                    </a:prstGeom>
                    <a:noFill/>
                  </pic:spPr>
                </pic:pic>
              </a:graphicData>
            </a:graphic>
          </wp:inline>
        </w:drawing>
      </w:r>
      <w:r>
        <w:rPr>
          <w:rFonts w:cs="Times New Roman" w:ascii="Times New Roman" w:hAnsi="Times New Roman"/>
          <w:color w:themeColor="text1" w:val="000000"/>
          <w:sz w:val="16"/>
          <w:szCs w:val="24"/>
        </w:rPr>
        <w:t xml:space="preserve"> </w:t>
      </w:r>
      <w:r>
        <w:rPr>
          <w:rFonts w:cs="Times New Roman" w:ascii="Times New Roman" w:hAnsi="Times New Roman"/>
          <w:color w:themeColor="text1" w:val="000000"/>
          <w:sz w:val="16"/>
          <w:szCs w:val="24"/>
        </w:rPr>
        <w:t>(1) Refere-se ao imóvel que foi adjudicado por intermédio de garantia de pagamento com cliente antigo e inadimplente. Todavia o antigo cliente atualmente contesta na justiça o direito de usucapião do imóvel. A IMBEL</w:t>
      </w:r>
      <w:r>
        <w:rPr>
          <w:rFonts w:cs="Times New Roman" w:ascii="Times New Roman" w:hAnsi="Times New Roman"/>
          <w:color w:themeColor="text1" w:val="000000"/>
          <w:sz w:val="16"/>
          <w:szCs w:val="24"/>
          <w:vertAlign w:val="superscript"/>
        </w:rPr>
        <w:t>®</w:t>
      </w:r>
      <w:r>
        <w:rPr>
          <w:rFonts w:cs="Times New Roman" w:ascii="Times New Roman" w:hAnsi="Times New Roman"/>
          <w:color w:themeColor="text1" w:val="000000"/>
          <w:sz w:val="16"/>
          <w:szCs w:val="24"/>
        </w:rPr>
        <w:t xml:space="preserve"> possui o registro da escritura o que lhe foi conferida a propriedade. A empresa realiza monitoramento constante do ativo por meio de visitas técnicas e aguarda uma decisão judicial para propor a Diretoria Executiva à definição quanto à sua destinação e posse de fato.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Refere-se à participação acionária de 0,34% na empresa. Esse investimento é avaliado pelo método de custo em função dessa participação não apresentar influência significativa, conforme o disposto no artigo nº 244, combinado com o artigo nº 14, parágrafo único da Lei nº 6.404/76. Além disso, essa participação representa menos de 20% do Capital Social da investida.</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15.1. INVESTIMENTO NA CBC – CIA BRASILEIRA DE CARTUCHOS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p>
    <w:p>
      <w:pPr>
        <w:pStyle w:val="Normal"/>
        <w:spacing w:lineRule="auto" w:line="240" w:before="0" w:after="0"/>
        <w:jc w:val="both"/>
        <w:rPr>
          <w:rFonts w:ascii="Times New Roman" w:hAnsi="Times New Roman" w:cs="Times New Roman"/>
          <w:b/>
          <w:szCs w:val="24"/>
        </w:rPr>
      </w:pPr>
      <w:r>
        <w:rPr/>
        <w:drawing>
          <wp:inline distT="0" distB="0" distL="0" distR="0">
            <wp:extent cx="6819900" cy="704850"/>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m 37"/>
                    <pic:cNvPicPr>
                      <a:picLocks noChangeAspect="1" noChangeArrowheads="1"/>
                    </pic:cNvPicPr>
                  </pic:nvPicPr>
                  <pic:blipFill>
                    <a:blip r:embed="rId54"/>
                    <a:stretch>
                      <a:fillRect/>
                    </a:stretch>
                  </pic:blipFill>
                  <pic:spPr bwMode="auto">
                    <a:xfrm>
                      <a:off x="0" y="0"/>
                      <a:ext cx="6819900" cy="70485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sectPr>
          <w:headerReference w:type="default" r:id="rId55"/>
          <w:headerReference w:type="first" r:id="rId56"/>
          <w:footerReference w:type="default" r:id="rId57"/>
          <w:footerReference w:type="first" r:id="rId58"/>
          <w:type w:val="nextPage"/>
          <w:pgSz w:w="11906" w:h="16838"/>
          <w:pgMar w:left="709" w:right="567" w:gutter="0" w:header="709" w:top="766" w:footer="0" w:bottom="720"/>
          <w:pgNumType w:fmt="decimal"/>
          <w:formProt w:val="false"/>
          <w:textDirection w:val="lrTb"/>
          <w:docGrid w:type="default" w:linePitch="360" w:charSpace="0"/>
        </w:sectPr>
      </w:pPr>
      <w:r>
        <w:rPr>
          <w:rFonts w:cs="Times New Roman" w:ascii="Times New Roman" w:hAnsi="Times New Roman"/>
          <w:sz w:val="16"/>
          <w:szCs w:val="24"/>
        </w:rPr>
        <w:t>A IMBEL® possui 0,58% das ações ordinárias e 0,09% das ações preferenciais.</w:t>
      </w:r>
    </w:p>
    <w:p>
      <w:pPr>
        <w:pStyle w:val="Normal"/>
        <w:spacing w:lineRule="auto" w:line="240" w:before="0" w:after="0"/>
        <w:ind w:start="-284"/>
        <w:jc w:val="both"/>
        <w:rPr>
          <w:rFonts w:ascii="Times New Roman" w:hAnsi="Times New Roman" w:cs="Times New Roman"/>
          <w:b/>
          <w:color w:val="EE0000"/>
          <w:sz w:val="24"/>
          <w:szCs w:val="24"/>
        </w:rPr>
      </w:pPr>
      <w:r>
        <w:rPr>
          <w:rFonts w:cs="Times New Roman" w:ascii="Times New Roman" w:hAnsi="Times New Roman"/>
          <w:b/>
          <w:sz w:val="24"/>
          <w:szCs w:val="24"/>
        </w:rPr>
        <w:t xml:space="preserve">16. IMOBILIZADO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16.1. Demonstrações</w:t>
      </w:r>
    </w:p>
    <w:p>
      <w:pPr>
        <w:pStyle w:val="Normal"/>
        <w:spacing w:lineRule="auto" w:line="240" w:before="0" w:after="0"/>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9778365" cy="3762375"/>
            <wp:effectExtent l="0" t="0" r="0" b="0"/>
            <wp:docPr id="40"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15"/>
                    <pic:cNvPicPr>
                      <a:picLocks noChangeAspect="1" noChangeArrowheads="1"/>
                    </pic:cNvPicPr>
                  </pic:nvPicPr>
                  <pic:blipFill>
                    <a:blip r:embed="rId59"/>
                    <a:stretch>
                      <a:fillRect/>
                    </a:stretch>
                  </pic:blipFill>
                  <pic:spPr bwMode="auto">
                    <a:xfrm>
                      <a:off x="0" y="0"/>
                      <a:ext cx="9778365" cy="376237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sectPr>
          <w:headerReference w:type="default" r:id="rId60"/>
          <w:headerReference w:type="first" r:id="rId61"/>
          <w:footerReference w:type="default" r:id="rId62"/>
          <w:footerReference w:type="first" r:id="rId63"/>
          <w:type w:val="nextPage"/>
          <w:pgSz w:orient="landscape" w:w="16838" w:h="11906"/>
          <w:pgMar w:left="720" w:right="720" w:gutter="0" w:header="709" w:top="766" w:footer="0" w:bottom="567"/>
          <w:pgNumType w:fmt="decimal"/>
          <w:formProt w:val="false"/>
          <w:textDirection w:val="lrTb"/>
          <w:docGrid w:type="default" w:linePitch="360" w:charSpace="0"/>
        </w:sectPr>
      </w:pPr>
      <w:r>
        <w:rPr>
          <w:rFonts w:cs="Times New Roman" w:ascii="Times New Roman" w:hAnsi="Times New Roman"/>
          <w:b/>
          <w:sz w:val="24"/>
          <w:szCs w:val="24"/>
        </w:rPr>
        <w:t xml:space="preserve">16.2. </w:t>
      </w:r>
      <w:r>
        <w:rPr>
          <w:rFonts w:cs="Times New Roman" w:ascii="Times New Roman" w:hAnsi="Times New Roman"/>
          <w:sz w:val="24"/>
          <w:szCs w:val="24"/>
        </w:rPr>
        <w:t>Em conformidade com a Resolução nº 04/2015, do Conselho de Administração da IMBEL</w:t>
      </w:r>
      <w:r>
        <w:rPr>
          <w:rFonts w:cs="Times New Roman" w:ascii="Times New Roman" w:hAnsi="Times New Roman"/>
          <w:sz w:val="24"/>
          <w:szCs w:val="24"/>
          <w:vertAlign w:val="superscript"/>
        </w:rPr>
        <w:t>®</w:t>
      </w:r>
      <w:r>
        <w:rPr>
          <w:rFonts w:cs="Times New Roman" w:ascii="Times New Roman" w:hAnsi="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Pr>
          <w:rFonts w:cs="Times New Roman" w:ascii="Times New Roman" w:hAnsi="Times New Roman"/>
          <w:sz w:val="24"/>
          <w:szCs w:val="24"/>
          <w:vertAlign w:val="superscript"/>
        </w:rPr>
        <w:t>®</w:t>
      </w:r>
      <w:r>
        <w:rPr>
          <w:rFonts w:cs="Times New Roman" w:ascii="Times New Roman" w:hAnsi="Times New Roman"/>
          <w:sz w:val="24"/>
          <w:szCs w:val="24"/>
        </w:rPr>
        <w:t>, excetuando os direcionados às atividades operacionais das unidades de produção e os localizados em áreas de segurança da Empresa. Em 2026 não houve venda de imóveis na IMBEL</w:t>
      </w:r>
      <w:r>
        <w:rPr>
          <w:rFonts w:cs="Times New Roman" w:ascii="Times New Roman" w:hAnsi="Times New Roman"/>
          <w:sz w:val="24"/>
          <w:szCs w:val="24"/>
          <w:vertAlign w:val="superscript"/>
        </w:rPr>
        <w:t>®</w:t>
      </w:r>
      <w:r>
        <w:rPr>
          <w:rFonts w:cs="Times New Roman" w:ascii="Times New Roman" w:hAnsi="Times New Roman"/>
          <w:sz w:val="24"/>
          <w:szCs w:val="24"/>
        </w:rPr>
        <w:t>.</w:t>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16.3. Obras em andamento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color w:val="FF0000"/>
          <w:sz w:val="24"/>
          <w:szCs w:val="24"/>
        </w:rPr>
        <w:t xml:space="preserve">                                                                                                                                                                     </w:t>
      </w:r>
      <w:r>
        <w:rPr>
          <w:rFonts w:cs="Times New Roman" w:ascii="Times New Roman" w:hAnsi="Times New Roman"/>
          <w:b/>
          <w:szCs w:val="24"/>
        </w:rPr>
        <w:t>R$ mil</w:t>
      </w:r>
    </w:p>
    <w:p>
      <w:pPr>
        <w:pStyle w:val="Normal"/>
        <w:spacing w:lineRule="auto" w:line="240" w:before="0" w:after="0"/>
        <w:ind w:end="-1"/>
        <w:jc w:val="both"/>
        <w:rPr>
          <w:rFonts w:ascii="Times New Roman" w:hAnsi="Times New Roman" w:cs="Times New Roman"/>
          <w:sz w:val="16"/>
          <w:szCs w:val="24"/>
        </w:rPr>
      </w:pPr>
      <w:r>
        <w:rPr/>
        <w:drawing>
          <wp:inline distT="0" distB="0" distL="0" distR="0">
            <wp:extent cx="6712585" cy="3333750"/>
            <wp:effectExtent l="0" t="0" r="0" b="0"/>
            <wp:docPr id="43"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16"/>
                    <pic:cNvPicPr>
                      <a:picLocks noChangeAspect="1" noChangeArrowheads="1"/>
                    </pic:cNvPicPr>
                  </pic:nvPicPr>
                  <pic:blipFill>
                    <a:blip r:embed="rId64"/>
                    <a:stretch>
                      <a:fillRect/>
                    </a:stretch>
                  </pic:blipFill>
                  <pic:spPr bwMode="auto">
                    <a:xfrm>
                      <a:off x="0" y="0"/>
                      <a:ext cx="6712585" cy="3333750"/>
                    </a:xfrm>
                    <a:prstGeom prst="rect">
                      <a:avLst/>
                    </a:prstGeom>
                    <a:noFill/>
                  </pic:spPr>
                </pic:pic>
              </a:graphicData>
            </a:graphic>
          </wp:inline>
        </w:drawing>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Os custos das obras em andamento são reconhecidos como ativo imobilizado na medida em que são concluídas as obras com o seu funcionamento adequado.</w:t>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As Fábricas FPV e FJF possuem valores altos de obras em andamento devido a maior necessidade de adequação à infraestrutura ambiental e de segurança para o cumprimento das normas necessárias a uma Indústria química de alta periculosidade.</w:t>
      </w:r>
    </w:p>
    <w:p>
      <w:pPr>
        <w:pStyle w:val="Normal"/>
        <w:spacing w:lineRule="auto" w:line="240" w:before="0" w:after="0"/>
        <w:rPr>
          <w:rFonts w:ascii="Times New Roman" w:hAnsi="Times New Roman" w:cs="Times New Roman"/>
          <w:sz w:val="16"/>
          <w:szCs w:val="24"/>
        </w:rPr>
      </w:pPr>
      <w:r>
        <w:rPr>
          <w:rFonts w:cs="Times New Roman" w:ascii="Times New Roman" w:hAnsi="Times New Roman"/>
          <w:sz w:val="16"/>
          <w:szCs w:val="24"/>
        </w:rPr>
        <w:t>Na Filial FJF teve início ao projeto de reestruturação da Nova Planta de Carregamento (NPC).</w:t>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Na Filial FPV foi incorporada a Planta Chemathur no valor de R</w:t>
      </w:r>
      <w:r>
        <w:rPr>
          <w:rFonts w:cs="Times New Roman" w:ascii="Times New Roman" w:hAnsi="Times New Roman"/>
          <w:b/>
          <w:sz w:val="16"/>
          <w:szCs w:val="24"/>
        </w:rPr>
        <w:t xml:space="preserve">$ </w:t>
      </w:r>
      <w:r>
        <w:rPr>
          <w:rStyle w:val="Strong"/>
          <w:rFonts w:cs="Calibri" w:ascii="Calibri" w:hAnsi="Calibri"/>
          <w:b w:val="false"/>
          <w:sz w:val="16"/>
          <w:szCs w:val="16"/>
        </w:rPr>
        <w:t>23.575.174,98</w:t>
      </w:r>
      <w:r>
        <w:rPr>
          <w:rFonts w:cs="Times New Roman" w:ascii="Times New Roman" w:hAnsi="Times New Roman"/>
          <w:sz w:val="16"/>
          <w:szCs w:val="24"/>
        </w:rPr>
        <w:t xml:space="preserve">, cuja propriedade transferida pelo Exército Brasileiro via doação em 30/04/2025 e devido à necessidade de retrofitagem deverá constar em obras em andamento aguardando avaliação da engenharia sobre as possíveis melhorias. </w:t>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Na Fábrica da FE estão sendo executadas obras de reformas prediais (as unidades residenciais construção e melhoramento das instalações fabris) e serviços de instalação fornecimento de sistema (SKID) de filtros de areia para os reservatórios da SEEX.</w:t>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 xml:space="preserve"> </w:t>
      </w:r>
    </w:p>
    <w:p>
      <w:pPr>
        <w:pStyle w:val="Normal"/>
        <w:spacing w:lineRule="auto" w:line="240" w:before="0" w:after="0"/>
        <w:ind w:start="-284"/>
        <w:jc w:val="both"/>
        <w:rPr>
          <w:rFonts w:ascii="Times New Roman" w:hAnsi="Times New Roman" w:cs="Times New Roman"/>
          <w:b/>
          <w:color w:val="FF0000"/>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 xml:space="preserve">17. INTANGÍVEL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1752600"/>
            <wp:effectExtent l="0" t="0" r="0" b="0"/>
            <wp:docPr id="44"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17"/>
                    <pic:cNvPicPr>
                      <a:picLocks noChangeAspect="1" noChangeArrowheads="1"/>
                    </pic:cNvPicPr>
                  </pic:nvPicPr>
                  <pic:blipFill>
                    <a:blip r:embed="rId65"/>
                    <a:stretch>
                      <a:fillRect/>
                    </a:stretch>
                  </pic:blipFill>
                  <pic:spPr bwMode="auto">
                    <a:xfrm>
                      <a:off x="0" y="0"/>
                      <a:ext cx="6750685" cy="17526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18. FORNECEDORES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13220" cy="647700"/>
            <wp:effectExtent l="0" t="0" r="0" b="0"/>
            <wp:docPr id="45"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18"/>
                    <pic:cNvPicPr>
                      <a:picLocks noChangeAspect="1" noChangeArrowheads="1"/>
                    </pic:cNvPicPr>
                  </pic:nvPicPr>
                  <pic:blipFill>
                    <a:blip r:embed="rId66"/>
                    <a:stretch>
                      <a:fillRect/>
                    </a:stretch>
                  </pic:blipFill>
                  <pic:spPr bwMode="auto">
                    <a:xfrm>
                      <a:off x="0" y="0"/>
                      <a:ext cx="6713220" cy="6477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pacing w:val="-3"/>
          <w:sz w:val="16"/>
        </w:rPr>
      </w:pPr>
      <w:r>
        <w:rPr>
          <w:rFonts w:cs="Times New Roman" w:ascii="Times New Roman" w:hAnsi="Times New Roman"/>
          <w:sz w:val="16"/>
        </w:rPr>
        <w:t>(1)</w:t>
      </w:r>
      <w:r>
        <w:rPr>
          <w:rFonts w:cs="Times New Roman" w:ascii="Times New Roman" w:hAnsi="Times New Roman"/>
          <w:position w:val="5"/>
          <w:sz w:val="9"/>
        </w:rPr>
        <w:t xml:space="preserve"> </w:t>
      </w:r>
      <w:r>
        <w:rPr>
          <w:rFonts w:cs="Times New Roman" w:ascii="Times New Roman" w:hAnsi="Times New Roman"/>
          <w:sz w:val="16"/>
        </w:rPr>
        <w:t>Refere-se</w:t>
      </w:r>
      <w:r>
        <w:rPr>
          <w:rFonts w:cs="Times New Roman" w:ascii="Times New Roman" w:hAnsi="Times New Roman"/>
          <w:spacing w:val="-5"/>
          <w:sz w:val="16"/>
        </w:rPr>
        <w:t xml:space="preserve"> </w:t>
      </w:r>
      <w:r>
        <w:rPr>
          <w:rFonts w:cs="Times New Roman" w:ascii="Times New Roman" w:hAnsi="Times New Roman"/>
          <w:sz w:val="16"/>
        </w:rPr>
        <w:t>ao</w:t>
      </w:r>
      <w:r>
        <w:rPr>
          <w:rFonts w:cs="Times New Roman" w:ascii="Times New Roman" w:hAnsi="Times New Roman"/>
          <w:spacing w:val="-3"/>
          <w:sz w:val="16"/>
        </w:rPr>
        <w:t>s valores a pagar de fornecedores de insumos, serviços prestados e demais atividades necessárias ao funcionamento operacional da IMBEL</w:t>
      </w:r>
      <w:r>
        <w:rPr>
          <w:rFonts w:cs="Times New Roman" w:ascii="Times New Roman" w:hAnsi="Times New Roman"/>
          <w:spacing w:val="-3"/>
          <w:sz w:val="16"/>
          <w:vertAlign w:val="superscript"/>
        </w:rPr>
        <w:t>®</w:t>
      </w:r>
      <w:r>
        <w:rPr>
          <w:rFonts w:cs="Times New Roman" w:ascii="Times New Roman" w:hAnsi="Times New Roman"/>
          <w:spacing w:val="-3"/>
          <w:sz w:val="16"/>
        </w:rPr>
        <w:t xml:space="preserve">. </w:t>
      </w:r>
    </w:p>
    <w:p>
      <w:pPr>
        <w:pStyle w:val="Normal"/>
        <w:spacing w:lineRule="auto" w:line="240" w:before="0" w:after="0"/>
        <w:jc w:val="both"/>
        <w:rPr>
          <w:rFonts w:ascii="Times New Roman" w:hAnsi="Times New Roman" w:cs="Times New Roman"/>
          <w:sz w:val="16"/>
        </w:rPr>
      </w:pPr>
      <w:r>
        <w:rPr>
          <w:rFonts w:cs="Times New Roman" w:ascii="Times New Roman" w:hAnsi="Times New Roman"/>
          <w:sz w:val="16"/>
        </w:rPr>
        <w:t>O aumento expressivo do período apresentado ocorreu devido ao cronograma para pagamento de fornecedores dos contratos de TED. A redução ocorrerá na medida em que os recursos forem disponibilizados.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19. OBRIGAÇÕES TRABALHISTAS, TRIBUTÁRIAS E CONTRIBUIÇÕES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1485900"/>
            <wp:effectExtent l="0" t="0" r="0" b="0"/>
            <wp:docPr id="46"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19"/>
                    <pic:cNvPicPr>
                      <a:picLocks noChangeAspect="1" noChangeArrowheads="1"/>
                    </pic:cNvPicPr>
                  </pic:nvPicPr>
                  <pic:blipFill>
                    <a:blip r:embed="rId67"/>
                    <a:stretch>
                      <a:fillRect/>
                    </a:stretch>
                  </pic:blipFill>
                  <pic:spPr bwMode="auto">
                    <a:xfrm>
                      <a:off x="0" y="0"/>
                      <a:ext cx="6750685" cy="1485900"/>
                    </a:xfrm>
                    <a:prstGeom prst="rect">
                      <a:avLst/>
                    </a:prstGeom>
                    <a:noFill/>
                  </pic:spPr>
                </pic:pic>
              </a:graphicData>
            </a:graphic>
          </wp:inline>
        </w:drawing>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 Correção de saldo 2025 por erro de digitação.</w:t>
      </w:r>
    </w:p>
    <w:p>
      <w:pPr>
        <w:pStyle w:val="Normal"/>
        <w:spacing w:lineRule="auto" w:line="240" w:before="0" w:after="0"/>
        <w:ind w:end="141"/>
        <w:jc w:val="both"/>
        <w:rPr>
          <w:rFonts w:ascii="Times New Roman" w:hAnsi="Times New Roman" w:cs="Times New Roman"/>
          <w:sz w:val="16"/>
          <w:szCs w:val="24"/>
        </w:rPr>
      </w:pPr>
      <w:r>
        <w:rPr>
          <w:rFonts w:cs="Times New Roman" w:ascii="Times New Roman" w:hAnsi="Times New Roman"/>
          <w:sz w:val="16"/>
          <w:szCs w:val="24"/>
        </w:rPr>
        <w:t>(1) Parcelamento Simplificado não previdenciário n. 02110001200151958242288, requerido pela empresa na data de 28/04/2022, no montante de R$ 3.975.mil, em 60 meses com parcela de R$ 66 mil, referente a créditos tributários não reconhecidos pela Receita Federal solicitados via PERDCOMP entre os anos 2008 a 2009 e quitado e encerrado no 1º TRIM 2026.</w:t>
      </w:r>
    </w:p>
    <w:p>
      <w:pPr>
        <w:pStyle w:val="Normal"/>
        <w:spacing w:lineRule="auto" w:line="240" w:before="0" w:after="0"/>
        <w:ind w:end="402"/>
        <w:jc w:val="both"/>
        <w:rPr>
          <w:rFonts w:ascii="Times New Roman" w:hAnsi="Times New Roman" w:cs="Times New Roman"/>
          <w:b/>
          <w:color w:themeColor="text1" w:val="000000"/>
          <w:szCs w:val="24"/>
        </w:rPr>
      </w:pPr>
      <w:r>
        <w:rPr>
          <w:rFonts w:cs="Times New Roman" w:ascii="Times New Roman" w:hAnsi="Times New Roman"/>
          <w:b/>
          <w:color w:themeColor="text1" w:val="000000"/>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20. RECEITA ORÇAMENTÁRIA A REALIZAR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Refere-se ao recurso disponível do aporte financeiro da União realizado até março de 2026 e ainda não utilizado no período.  </w:t>
      </w:r>
    </w:p>
    <w:p>
      <w:pPr>
        <w:pStyle w:val="Normal"/>
        <w:tabs>
          <w:tab w:val="clear" w:pos="907"/>
          <w:tab w:val="left" w:pos="9375" w:leader="none"/>
        </w:tabs>
        <w:spacing w:lineRule="auto" w:line="240" w:before="0" w:after="0"/>
        <w:jc w:val="both"/>
        <w:rPr>
          <w:rFonts w:ascii="Times New Roman" w:hAnsi="Times New Roman" w:cs="Times New Roman"/>
          <w:b/>
          <w:sz w:val="24"/>
          <w:szCs w:val="24"/>
        </w:rPr>
      </w:pPr>
      <w:r>
        <w:rPr>
          <w:rFonts w:cs="Times New Roman" w:ascii="Times New Roman" w:hAnsi="Times New Roman"/>
          <w:sz w:val="24"/>
          <w:szCs w:val="24"/>
        </w:rPr>
        <w:tab/>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05600" cy="657225"/>
            <wp:effectExtent l="0" t="0" r="0" b="0"/>
            <wp:docPr id="47"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m 49"/>
                    <pic:cNvPicPr>
                      <a:picLocks noChangeAspect="1" noChangeArrowheads="1"/>
                    </pic:cNvPicPr>
                  </pic:nvPicPr>
                  <pic:blipFill>
                    <a:blip r:embed="rId68"/>
                    <a:stretch>
                      <a:fillRect/>
                    </a:stretch>
                  </pic:blipFill>
                  <pic:spPr bwMode="auto">
                    <a:xfrm>
                      <a:off x="0" y="0"/>
                      <a:ext cx="6705600" cy="6572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color w:val="FF0000"/>
          <w:spacing w:val="-4"/>
          <w:sz w:val="16"/>
        </w:rPr>
      </w:pPr>
      <w:r>
        <w:rPr>
          <w:rFonts w:cs="Times New Roman" w:ascii="Times New Roman" w:hAnsi="Times New Roman"/>
          <w:sz w:val="16"/>
        </w:rPr>
        <w:t>(1) Refere-se</w:t>
      </w:r>
      <w:r>
        <w:rPr>
          <w:rFonts w:cs="Times New Roman" w:ascii="Times New Roman" w:hAnsi="Times New Roman"/>
          <w:spacing w:val="-5"/>
          <w:sz w:val="16"/>
        </w:rPr>
        <w:t xml:space="preserve"> </w:t>
      </w:r>
      <w:r>
        <w:rPr>
          <w:rFonts w:cs="Times New Roman" w:ascii="Times New Roman" w:hAnsi="Times New Roman"/>
          <w:sz w:val="16"/>
        </w:rPr>
        <w:t>ao</w:t>
      </w:r>
      <w:r>
        <w:rPr>
          <w:rFonts w:cs="Times New Roman" w:ascii="Times New Roman" w:hAnsi="Times New Roman"/>
          <w:spacing w:val="-3"/>
          <w:sz w:val="16"/>
        </w:rPr>
        <w:t xml:space="preserve"> </w:t>
      </w:r>
      <w:r>
        <w:rPr>
          <w:rFonts w:cs="Times New Roman" w:ascii="Times New Roman" w:hAnsi="Times New Roman"/>
          <w:sz w:val="16"/>
        </w:rPr>
        <w:t>recurso</w:t>
      </w:r>
      <w:r>
        <w:rPr>
          <w:rFonts w:cs="Times New Roman" w:ascii="Times New Roman" w:hAnsi="Times New Roman"/>
          <w:spacing w:val="-4"/>
          <w:sz w:val="16"/>
        </w:rPr>
        <w:t xml:space="preserve"> </w:t>
      </w:r>
      <w:r>
        <w:rPr>
          <w:rFonts w:cs="Times New Roman" w:ascii="Times New Roman" w:hAnsi="Times New Roman"/>
          <w:sz w:val="16"/>
        </w:rPr>
        <w:t>recebido</w:t>
      </w:r>
      <w:r>
        <w:rPr>
          <w:rFonts w:cs="Times New Roman" w:ascii="Times New Roman" w:hAnsi="Times New Roman"/>
          <w:spacing w:val="-4"/>
          <w:sz w:val="16"/>
        </w:rPr>
        <w:t xml:space="preserve"> para pagar a </w:t>
      </w:r>
      <w:r>
        <w:rPr>
          <w:rFonts w:cs="Times New Roman" w:ascii="Times New Roman" w:hAnsi="Times New Roman"/>
          <w:sz w:val="16"/>
        </w:rPr>
        <w:t>folha</w:t>
      </w:r>
      <w:r>
        <w:rPr>
          <w:rFonts w:cs="Times New Roman" w:ascii="Times New Roman" w:hAnsi="Times New Roman"/>
          <w:spacing w:val="-3"/>
          <w:sz w:val="16"/>
        </w:rPr>
        <w:t xml:space="preserve"> </w:t>
      </w:r>
      <w:r>
        <w:rPr>
          <w:rFonts w:cs="Times New Roman" w:ascii="Times New Roman" w:hAnsi="Times New Roman"/>
          <w:sz w:val="16"/>
        </w:rPr>
        <w:t>de</w:t>
      </w:r>
      <w:r>
        <w:rPr>
          <w:rFonts w:cs="Times New Roman" w:ascii="Times New Roman" w:hAnsi="Times New Roman"/>
          <w:spacing w:val="-4"/>
          <w:sz w:val="16"/>
        </w:rPr>
        <w:t xml:space="preserve"> </w:t>
      </w:r>
      <w:r>
        <w:rPr>
          <w:rFonts w:cs="Times New Roman" w:ascii="Times New Roman" w:hAnsi="Times New Roman"/>
          <w:sz w:val="16"/>
        </w:rPr>
        <w:t>pessoal, encargos sociais, despesas judiciais e</w:t>
      </w:r>
      <w:r>
        <w:rPr>
          <w:rFonts w:cs="Times New Roman" w:ascii="Times New Roman" w:hAnsi="Times New Roman"/>
          <w:spacing w:val="-4"/>
          <w:sz w:val="16"/>
        </w:rPr>
        <w:t xml:space="preserve"> demais despesas de custeio </w:t>
      </w:r>
      <w:r>
        <w:rPr>
          <w:rFonts w:cs="Times New Roman" w:ascii="Times New Roman" w:hAnsi="Times New Roman"/>
          <w:sz w:val="16"/>
        </w:rPr>
        <w:t>no mês subsequente a competência</w:t>
      </w:r>
      <w:r>
        <w:rPr>
          <w:rFonts w:cs="Times New Roman" w:ascii="Times New Roman" w:hAnsi="Times New Roman"/>
          <w:color w:val="FF0000"/>
          <w:spacing w:val="-4"/>
          <w:sz w:val="16"/>
        </w:rPr>
        <w:t xml:space="preserve">. </w:t>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21. TERMO DE EXECUÇÃO DESCENTRALIZADA A REALIZAR </w:t>
      </w:r>
    </w:p>
    <w:p>
      <w:pPr>
        <w:pStyle w:val="Normal"/>
        <w:tabs>
          <w:tab w:val="clear" w:pos="907"/>
          <w:tab w:val="left" w:pos="6240" w:leader="none"/>
        </w:tabs>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rPr>
      </w:pPr>
      <w:r>
        <w:rPr/>
        <w:drawing>
          <wp:inline distT="0" distB="0" distL="0" distR="0">
            <wp:extent cx="6724650" cy="2581275"/>
            <wp:effectExtent l="0" t="0" r="0" b="0"/>
            <wp:docPr id="48"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53"/>
                    <pic:cNvPicPr>
                      <a:picLocks noChangeAspect="1" noChangeArrowheads="1"/>
                    </pic:cNvPicPr>
                  </pic:nvPicPr>
                  <pic:blipFill>
                    <a:blip r:embed="rId69"/>
                    <a:stretch>
                      <a:fillRect/>
                    </a:stretch>
                  </pic:blipFill>
                  <pic:spPr bwMode="auto">
                    <a:xfrm>
                      <a:off x="0" y="0"/>
                      <a:ext cx="6724650" cy="258127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rPr>
      </w:pPr>
      <w:r>
        <w:rPr>
          <w:rFonts w:cs="Times New Roman" w:ascii="Times New Roman" w:hAnsi="Times New Roman"/>
          <w:sz w:val="16"/>
        </w:rPr>
        <w:t xml:space="preserve">O conceito e os objetos dos TED e as movimentações financeiras estão descritos na nota explicativa nº 8.16. Demais informações sobre os TED encontram-se no endereço da página </w:t>
      </w:r>
      <w:hyperlink r:id="rId70">
        <w:r>
          <w:rPr>
            <w:rStyle w:val="Style1"/>
            <w:rFonts w:cs="Times New Roman" w:ascii="Times New Roman" w:hAnsi="Times New Roman"/>
            <w:sz w:val="16"/>
          </w:rPr>
          <w:t>https://www.imbel.go</w:t>
        </w:r>
      </w:hyperlink>
      <w:r>
        <w:rPr>
          <w:rFonts w:cs="Times New Roman" w:ascii="Times New Roman" w:hAnsi="Times New Roman"/>
          <w:sz w:val="16"/>
        </w:rPr>
        <w:t>v</w:t>
      </w:r>
      <w:hyperlink r:id="rId71">
        <w:r>
          <w:rPr>
            <w:rStyle w:val="Style1"/>
            <w:rFonts w:cs="Times New Roman" w:ascii="Times New Roman" w:hAnsi="Times New Roman"/>
            <w:sz w:val="16"/>
          </w:rPr>
          <w:t>.br/index.php/termos-de-</w:t>
        </w:r>
      </w:hyperlink>
      <w:r>
        <w:rPr>
          <w:rFonts w:cs="Times New Roman" w:ascii="Times New Roman" w:hAnsi="Times New Roman"/>
          <w:sz w:val="16"/>
        </w:rPr>
        <w:t xml:space="preserve"> execução-descentralizada. </w:t>
      </w:r>
    </w:p>
    <w:p>
      <w:pPr>
        <w:pStyle w:val="Normal"/>
        <w:spacing w:lineRule="auto" w:line="240" w:before="0" w:after="0"/>
        <w:jc w:val="both"/>
        <w:rPr>
          <w:rFonts w:ascii="Times New Roman" w:hAnsi="Times New Roman" w:cs="Times New Roman"/>
          <w:sz w:val="16"/>
        </w:rPr>
      </w:pPr>
      <w:r>
        <w:rPr>
          <w:rFonts w:cs="Times New Roman" w:ascii="Times New Roman" w:hAnsi="Times New Roman"/>
          <w:sz w:val="16"/>
        </w:rPr>
        <w:t>O saldo do TED a Realizar foi transferido para o Passivo de Longo Prazo pelos mesmos motivos explanados na Nota Explicativa nº 10.2.</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22. PROVISÕES JUDICIAIS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22.1. Demandas Prováveis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Em 31.03.2026,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estava sujeita a 46 ações judiciais (em dezembro de 2025 </w:t>
      </w:r>
      <w:r>
        <w:rPr>
          <w:rFonts w:cs="Times New Roman" w:ascii="Times New Roman" w:hAnsi="Times New Roman"/>
          <w:color w:themeColor="text1" w:val="000000"/>
          <w:sz w:val="24"/>
          <w:szCs w:val="24"/>
        </w:rPr>
        <w:t>eram 53</w:t>
      </w:r>
      <w:r>
        <w:rPr>
          <w:rFonts w:cs="Times New Roman" w:ascii="Times New Roman" w:hAnsi="Times New Roman"/>
          <w:sz w:val="24"/>
          <w:szCs w:val="24"/>
        </w:rPr>
        <w:t xml:space="preserve">) de natureza cível e trabalhista, com variadas características e em diversas fases do rito processual.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ind w:end="-1"/>
        <w:jc w:val="both"/>
        <w:rPr>
          <w:rFonts w:ascii="Times New Roman" w:hAnsi="Times New Roman" w:cs="Times New Roman"/>
          <w:sz w:val="16"/>
          <w:szCs w:val="24"/>
        </w:rPr>
      </w:pPr>
      <w:r>
        <w:rPr/>
        <w:drawing>
          <wp:inline distT="0" distB="0" distL="0" distR="0">
            <wp:extent cx="6800850" cy="3962400"/>
            <wp:effectExtent l="0" t="0" r="0" b="0"/>
            <wp:docPr id="49"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m 54"/>
                    <pic:cNvPicPr>
                      <a:picLocks noChangeAspect="1" noChangeArrowheads="1"/>
                    </pic:cNvPicPr>
                  </pic:nvPicPr>
                  <pic:blipFill>
                    <a:blip r:embed="rId72"/>
                    <a:stretch>
                      <a:fillRect/>
                    </a:stretch>
                  </pic:blipFill>
                  <pic:spPr bwMode="auto">
                    <a:xfrm>
                      <a:off x="0" y="0"/>
                      <a:ext cx="6800850" cy="3962400"/>
                    </a:xfrm>
                    <a:prstGeom prst="rect">
                      <a:avLst/>
                    </a:prstGeom>
                    <a:noFill/>
                  </pic:spPr>
                </pic:pic>
              </a:graphicData>
            </a:graphic>
          </wp:inline>
        </w:drawing>
      </w:r>
      <w:r>
        <w:rPr>
          <w:rFonts w:cs="Times New Roman" w:ascii="Times New Roman" w:hAnsi="Times New Roman"/>
          <w:sz w:val="16"/>
          <w:szCs w:val="24"/>
        </w:rPr>
        <w:t xml:space="preserve"> </w:t>
      </w:r>
      <w:r>
        <w:rPr>
          <w:rFonts w:cs="Times New Roman" w:ascii="Times New Roman" w:hAnsi="Times New Roman"/>
          <w:sz w:val="16"/>
          <w:szCs w:val="24"/>
        </w:rPr>
        <w:t>(1)</w:t>
      </w:r>
      <w:r>
        <w:rPr>
          <w:rFonts w:cs="Times New Roman" w:ascii="Times New Roman" w:hAnsi="Times New Roman"/>
          <w:b/>
          <w:sz w:val="24"/>
          <w:szCs w:val="24"/>
        </w:rPr>
        <w:t xml:space="preserve"> </w:t>
      </w:r>
      <w:r>
        <w:rPr>
          <w:rFonts w:cs="Times New Roman" w:ascii="Times New Roman" w:hAnsi="Times New Roman"/>
          <w:sz w:val="16"/>
          <w:szCs w:val="24"/>
        </w:rPr>
        <w:t>Ações indenizatórias de dano moral, material, etc.</w:t>
      </w:r>
      <w:r>
        <w:rPr>
          <w:rFonts w:eastAsia="Trebuchet MS" w:cs="Trebuchet MS" w:ascii="Trebuchet MS" w:hAnsi="Trebuchet MS"/>
          <w:sz w:val="16"/>
          <w:szCs w:val="16"/>
          <w:lang w:val="pt-PT"/>
        </w:rPr>
        <w:t xml:space="preserve"> </w:t>
      </w:r>
      <w:r>
        <w:rPr>
          <w:rFonts w:cs="Times New Roman" w:ascii="Times New Roman" w:hAnsi="Times New Roman"/>
          <w:sz w:val="16"/>
          <w:szCs w:val="24"/>
        </w:rPr>
        <w:t>Compreende o valor de R$1.500.000,00 referente ao provisionamento judicial oriundo da Ação Civil Pública movida pelo Ministério Público Federal em face da IMBEL, tendo em vista a Empresa ter atuado com desatendimento da legislação ambiental no tocante aos descartes operados junto ao Ribeirão do Preto/SP. 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paralisação das atividades e interdição fabril, nos termos da legislação aplicável.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(2) Ações oriundas de pedidos de reintegração à empresa, intervalo intrajornada, nulidade de acordo coletivo, acidente de trabalho, pagamento do piso mínimo salarial da categoria dos engenheiros, adicional de periculosidade e retorno de benefícios. </w:t>
      </w:r>
    </w:p>
    <w:p>
      <w:pPr>
        <w:pStyle w:val="Normal"/>
        <w:spacing w:lineRule="auto" w:line="240" w:before="0" w:after="0"/>
        <w:jc w:val="both"/>
        <w:rPr>
          <w:rFonts w:ascii="Times New Roman" w:hAnsi="Times New Roman" w:cs="Times New Roman"/>
          <w:color w:val="EE0000"/>
          <w:sz w:val="16"/>
          <w:szCs w:val="24"/>
        </w:rPr>
      </w:pPr>
      <w:r>
        <w:rPr>
          <w:rFonts w:cs="Times New Roman" w:ascii="Times New Roman" w:hAnsi="Times New Roman"/>
          <w:color w:val="EE0000"/>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22.2. Demandas Possíveis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Em 31.03.2026,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estava sujeita a 127 ações judiciais</w:t>
      </w:r>
      <w:r>
        <w:rPr>
          <w:rFonts w:cs="Times New Roman" w:ascii="Times New Roman" w:hAnsi="Times New Roman"/>
          <w:color w:val="FF0000"/>
          <w:sz w:val="24"/>
          <w:szCs w:val="24"/>
        </w:rPr>
        <w:t xml:space="preserve"> </w:t>
      </w:r>
      <w:r>
        <w:rPr>
          <w:rFonts w:cs="Times New Roman" w:ascii="Times New Roman" w:hAnsi="Times New Roman"/>
          <w:sz w:val="24"/>
          <w:szCs w:val="24"/>
        </w:rPr>
        <w:t>(em dezembro de 2025 eram 129) de natureza cível, previdenciária, trabalhista e tributária, com variadas características e em diversas fases do rito processual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886575" cy="962025"/>
            <wp:effectExtent l="0" t="0" r="0" b="0"/>
            <wp:docPr id="50"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m 56"/>
                    <pic:cNvPicPr>
                      <a:picLocks noChangeAspect="1" noChangeArrowheads="1"/>
                    </pic:cNvPicPr>
                  </pic:nvPicPr>
                  <pic:blipFill>
                    <a:blip r:embed="rId73"/>
                    <a:stretch>
                      <a:fillRect/>
                    </a:stretch>
                  </pic:blipFill>
                  <pic:spPr bwMode="auto">
                    <a:xfrm>
                      <a:off x="0" y="0"/>
                      <a:ext cx="6886575" cy="9620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23. PROVISÕES DIVERSAS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858000" cy="647700"/>
            <wp:effectExtent l="0" t="0" r="0" b="0"/>
            <wp:docPr id="51"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m 57"/>
                    <pic:cNvPicPr>
                      <a:picLocks noChangeAspect="1" noChangeArrowheads="1"/>
                    </pic:cNvPicPr>
                  </pic:nvPicPr>
                  <pic:blipFill>
                    <a:blip r:embed="rId74"/>
                    <a:stretch>
                      <a:fillRect/>
                    </a:stretch>
                  </pic:blipFill>
                  <pic:spPr bwMode="auto">
                    <a:xfrm>
                      <a:off x="0" y="0"/>
                      <a:ext cx="6858000" cy="6477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color w:val="FF0000"/>
          <w:sz w:val="16"/>
          <w:szCs w:val="24"/>
        </w:rPr>
      </w:pPr>
      <w:r>
        <w:rPr>
          <w:rFonts w:cs="Times New Roman" w:ascii="Times New Roman" w:hAnsi="Times New Roman"/>
          <w:sz w:val="16"/>
          <w:szCs w:val="24"/>
        </w:rPr>
        <w:t>(1) Referem-se aos atos de infração e advertência emitida pela CETESB (Companhia ambiental do Estado de São Paulo) na filial FPV.</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23.1. Provisão para Danos ao Meio Ambiente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R$</w:t>
      </w:r>
    </w:p>
    <w:p>
      <w:pPr>
        <w:pStyle w:val="Normal"/>
        <w:spacing w:lineRule="auto" w:line="240" w:before="0" w:after="0"/>
        <w:jc w:val="both"/>
        <w:rPr>
          <w:rFonts w:ascii="Times New Roman" w:hAnsi="Times New Roman" w:cs="Times New Roman"/>
          <w:b/>
          <w:sz w:val="24"/>
          <w:szCs w:val="24"/>
        </w:rPr>
      </w:pPr>
      <w:r>
        <w:rPr/>
        <w:drawing>
          <wp:inline distT="0" distB="0" distL="0" distR="0">
            <wp:extent cx="6696075" cy="809625"/>
            <wp:effectExtent l="0" t="0" r="0" b="0"/>
            <wp:docPr id="5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20"/>
                    <pic:cNvPicPr>
                      <a:picLocks noChangeAspect="1" noChangeArrowheads="1"/>
                    </pic:cNvPicPr>
                  </pic:nvPicPr>
                  <pic:blipFill>
                    <a:blip r:embed="rId75"/>
                    <a:stretch>
                      <a:fillRect/>
                    </a:stretch>
                  </pic:blipFill>
                  <pic:spPr bwMode="auto">
                    <a:xfrm>
                      <a:off x="0" y="0"/>
                      <a:ext cx="6696075" cy="8096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w:t>
      </w:r>
      <w:r>
        <w:rPr>
          <w:rFonts w:eastAsia="Times New Roman" w:cs="Times New Roman" w:ascii="Times New Roman" w:hAnsi="Times New Roman"/>
          <w:vertAlign w:val="superscript"/>
        </w:rPr>
        <w:t xml:space="preserve"> </w:t>
      </w:r>
      <w:r>
        <w:rPr>
          <w:rFonts w:cs="Times New Roman" w:ascii="Times New Roman" w:hAnsi="Times New Roman"/>
          <w:sz w:val="16"/>
          <w:szCs w:val="24"/>
        </w:rPr>
        <w:t>Auto de Infração nº 0300944 e 03002645: Pelo lançamento do efluente final ao corpo receptor apresentando o parâmetro cujos parâmetros de demanda bioquímica de oxigênio (DBO), pH e toxicidade em desacordo com os padrões estabelecidos pela legislação vigente, e pela operação inadequada do tanque de decantação, operado com excesso de material sobrenadante, podendo tornar as águas impróprias, nocivas ou ofensivas à saúde, danosas à fauna e flora.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decantadores da estação é realizada de modo contínuo.</w:t>
      </w:r>
    </w:p>
    <w:p>
      <w:pPr>
        <w:pStyle w:val="Normal"/>
        <w:spacing w:lineRule="auto" w:line="240" w:before="0" w:after="0"/>
        <w:jc w:val="both"/>
        <w:rPr>
          <w:rFonts w:ascii="Times New Roman" w:hAnsi="Times New Roman" w:cs="Times New Roman"/>
          <w:color w:val="FF0000"/>
          <w:sz w:val="16"/>
          <w:szCs w:val="24"/>
        </w:rPr>
      </w:pPr>
      <w:r>
        <w:rPr>
          <w:rFonts w:cs="Times New Roman" w:ascii="Times New Roman" w:hAnsi="Times New Roman"/>
          <w:color w:val="FF0000"/>
          <w:sz w:val="16"/>
          <w:szCs w:val="24"/>
        </w:rPr>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w:t>
      </w:r>
      <w:r>
        <w:rPr>
          <w:rFonts w:eastAsia="Times New Roman" w:cs="Times New Roman" w:ascii="Times New Roman" w:hAnsi="Times New Roman"/>
          <w:vertAlign w:val="superscript"/>
        </w:rPr>
        <w:t xml:space="preserve"> </w:t>
      </w:r>
      <w:r>
        <w:rPr>
          <w:rFonts w:cs="Times New Roman" w:ascii="Times New Roman" w:hAnsi="Times New Roman"/>
          <w:sz w:val="16"/>
          <w:szCs w:val="24"/>
        </w:rPr>
        <w:t>Auto de Infração nº 03002313: Pelo lançamento de despejos líquidos ácidos através da galeria de águas pluviais ao corpo de água local, devido a vazamento de ácido sulfúrico fumegante (OV Oleum Vitrium) na operação de descarregamento para o tanque de armazenamento, podendo tornar as águas impróprias, nocivas ou ofensivas à saúde, inconvenientes ao bem-estar público, danosos aos materiais, à fauna e à flora.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Medidas de Controle: A bacia de contenção que havia sido danificada foi restaurada com piso e rejunte antiácido. A Seção de Produção de Trinitrotolueno atualizou a Instrução de Trabalho, a fim de sanar e orientar quanto aos procedimentos a serem adotados em virtude de imprevistos que vierem ocorrer no caso de descarregamento de Oleum Vitrium, em especial com relação às manobras do caminhão visando a não ocorrência de danos à bacia.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A IMBEL vem adotando todas as medidas para controlar os riscos, porém no quesito toxidade, somente será possível alcançar a plenitude quando forem implementadas todas as ações mitigadoras, previstas na Ação Civil Pública nº 0001456-85.2013.403.6118 – Cumprimento de Sentença – Justiça Federal, Guaratinguetá – SP.</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24. OUTRAS OBRIGAÇÕES </w:t>
      </w:r>
      <w:r>
        <w:rPr>
          <w:rFonts w:cs="Times New Roman" w:ascii="Times New Roman" w:hAnsi="Times New Roman"/>
          <w:b/>
          <w:color w:val="FF0000"/>
          <w:sz w:val="24"/>
          <w:szCs w:val="24"/>
        </w:rPr>
        <w:t xml:space="preserv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16"/>
        </w:rPr>
      </w:pPr>
      <w:r>
        <w:rPr/>
        <w:drawing>
          <wp:inline distT="0" distB="0" distL="0" distR="0">
            <wp:extent cx="6772275" cy="1219200"/>
            <wp:effectExtent l="0" t="0" r="0" b="0"/>
            <wp:docPr id="53"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m 58"/>
                    <pic:cNvPicPr>
                      <a:picLocks noChangeAspect="1" noChangeArrowheads="1"/>
                    </pic:cNvPicPr>
                  </pic:nvPicPr>
                  <pic:blipFill>
                    <a:blip r:embed="rId76"/>
                    <a:stretch>
                      <a:fillRect/>
                    </a:stretch>
                  </pic:blipFill>
                  <pic:spPr bwMode="auto">
                    <a:xfrm>
                      <a:off x="0" y="0"/>
                      <a:ext cx="6772275" cy="1219200"/>
                    </a:xfrm>
                    <a:prstGeom prst="rect">
                      <a:avLst/>
                    </a:prstGeom>
                    <a:noFill/>
                  </pic:spPr>
                </pic:pic>
              </a:graphicData>
            </a:graphic>
          </wp:inline>
        </w:drawing>
      </w:r>
      <w:r>
        <w:rPr>
          <w:rFonts w:cs="Times New Roman" w:ascii="Times New Roman" w:hAnsi="Times New Roman"/>
          <w:sz w:val="16"/>
          <w:szCs w:val="16"/>
        </w:rPr>
        <w:t xml:space="preserve"> </w:t>
      </w:r>
      <w:r>
        <w:rPr>
          <w:rFonts w:cs="Times New Roman" w:ascii="Times New Roman" w:hAnsi="Times New Roman"/>
          <w:sz w:val="16"/>
          <w:szCs w:val="16"/>
        </w:rPr>
        <w:t>(1) Referem-se à insumos de clientes cedidos à IMBEL</w:t>
      </w:r>
      <w:r>
        <w:rPr>
          <w:rFonts w:cs="Times New Roman" w:ascii="Times New Roman" w:hAnsi="Times New Roman"/>
          <w:sz w:val="16"/>
          <w:szCs w:val="16"/>
          <w:vertAlign w:val="superscript"/>
        </w:rPr>
        <w:t xml:space="preserve">® </w:t>
      </w:r>
      <w:r>
        <w:rPr>
          <w:rFonts w:cs="Times New Roman" w:ascii="Times New Roman" w:hAnsi="Times New Roman"/>
          <w:sz w:val="16"/>
          <w:szCs w:val="16"/>
        </w:rPr>
        <w:t xml:space="preserve">para fins de industrialização por encomenda na Fábrica Presidente Vargas e recebimento antecipado de clientes nas filiais FMCE. FI e FE. </w:t>
      </w:r>
    </w:p>
    <w:p>
      <w:pPr>
        <w:pStyle w:val="Normal"/>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t>(2) Valores referentes a adiantamento de clientes para o processo produtivo nas filiais FPV e FE.</w:t>
      </w:r>
    </w:p>
    <w:p>
      <w:pPr>
        <w:pStyle w:val="Normal"/>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t xml:space="preserve">(3) Referem-se aos descontos na folha de pagamento para repasse de Consignação em favor de terceiros (mensalidade sindical, CAPEMI, pensão alimentícia, Associação de Funcionários e Clube Recreativo). </w:t>
      </w:r>
    </w:p>
    <w:p>
      <w:pPr>
        <w:pStyle w:val="Normal"/>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t xml:space="preserve">(4) Refere-se a obrigações cuja Nota Fiscal da obrigação é emitida no mês subsequente a despesa conforme contrato, o registro contábil ocorre pela competência na filial FPV.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25. PATRIMÔNIO LÍQUIDO</w:t>
      </w:r>
    </w:p>
    <w:p>
      <w:pPr>
        <w:pStyle w:val="Normal"/>
        <w:tabs>
          <w:tab w:val="clear" w:pos="907"/>
          <w:tab w:val="left" w:pos="2625" w:leader="none"/>
        </w:tabs>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ab/>
      </w:r>
    </w:p>
    <w:p>
      <w:pPr>
        <w:pStyle w:val="Normal"/>
        <w:tabs>
          <w:tab w:val="clear" w:pos="907"/>
          <w:tab w:val="left" w:pos="2460" w:leader="none"/>
        </w:tabs>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25.1. Capital Social</w:t>
        <w:tab/>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ListParagraph"/>
        <w:spacing w:lineRule="auto" w:line="240" w:before="0" w:after="0"/>
        <w:ind w:start="0"/>
        <w:contextualSpacing/>
        <w:jc w:val="both"/>
        <w:rPr>
          <w:rFonts w:ascii="Times New Roman" w:hAnsi="Times New Roman" w:cs="Times New Roman"/>
          <w:sz w:val="16"/>
          <w:szCs w:val="24"/>
        </w:rPr>
      </w:pPr>
      <w:r>
        <w:rPr/>
        <w:drawing>
          <wp:inline distT="0" distB="0" distL="0" distR="0">
            <wp:extent cx="6736715" cy="723900"/>
            <wp:effectExtent l="0" t="0" r="0" b="0"/>
            <wp:docPr id="54"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m 59"/>
                    <pic:cNvPicPr>
                      <a:picLocks noChangeAspect="1" noChangeArrowheads="1"/>
                    </pic:cNvPicPr>
                  </pic:nvPicPr>
                  <pic:blipFill>
                    <a:blip r:embed="rId77"/>
                    <a:stretch>
                      <a:fillRect/>
                    </a:stretch>
                  </pic:blipFill>
                  <pic:spPr bwMode="auto">
                    <a:xfrm>
                      <a:off x="0" y="0"/>
                      <a:ext cx="6736715" cy="723900"/>
                    </a:xfrm>
                    <a:prstGeom prst="rect">
                      <a:avLst/>
                    </a:prstGeom>
                    <a:noFill/>
                  </pic:spPr>
                </pic:pic>
              </a:graphicData>
            </a:graphic>
          </wp:inline>
        </w:drawing>
      </w:r>
      <w:r>
        <w:rPr>
          <w:rFonts w:cs="Times New Roman" w:ascii="Times New Roman" w:hAnsi="Times New Roman"/>
          <w:sz w:val="16"/>
          <w:szCs w:val="24"/>
          <w:lang w:eastAsia="pt-BR"/>
        </w:rPr>
        <w:t xml:space="preserve"> </w:t>
      </w:r>
      <w:r>
        <w:rPr>
          <w:rFonts w:cs="Times New Roman" w:ascii="Times New Roman" w:hAnsi="Times New Roman"/>
          <w:sz w:val="16"/>
          <w:szCs w:val="24"/>
        </w:rPr>
        <w:t xml:space="preserve"> </w:t>
      </w:r>
      <w:r>
        <w:rPr>
          <w:rFonts w:cs="Times New Roman" w:ascii="Times New Roman" w:hAnsi="Times New Roman"/>
          <w:sz w:val="16"/>
          <w:szCs w:val="24"/>
        </w:rPr>
        <w:t xml:space="preserve">(1) Em 28 de janeiro de 2026, foi realizada a integralização de Capital Social, utilizando o saldo de Adiantamento para Futuro Aumento de Capital e Reserva de Investimento, no montante de R$ 98.288 milhões. A operação foi formalizada com base no Parecer SEI nº 65251.000335/2026-69 do Ministério da Fazenda e registrada na Junta Comercial do Distrito Federal sob o nº 2968375 de 19/02/2026.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25.2. ADIANTAMENTO PARA FUTURO AUMENTO DE CAPITAL – AFAC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ListParagraph"/>
        <w:spacing w:lineRule="auto" w:line="240" w:before="0" w:after="0"/>
        <w:ind w:start="0"/>
        <w:contextualSpacing/>
        <w:jc w:val="both"/>
        <w:rPr>
          <w:rFonts w:ascii="Times New Roman" w:hAnsi="Times New Roman" w:cs="Times New Roman"/>
          <w:sz w:val="16"/>
          <w:szCs w:val="24"/>
        </w:rPr>
      </w:pPr>
      <w:r>
        <w:rPr/>
        <w:drawing>
          <wp:inline distT="0" distB="0" distL="0" distR="0">
            <wp:extent cx="6734810" cy="695325"/>
            <wp:effectExtent l="0" t="0" r="0" b="0"/>
            <wp:docPr id="55"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21"/>
                    <pic:cNvPicPr>
                      <a:picLocks noChangeAspect="1" noChangeArrowheads="1"/>
                    </pic:cNvPicPr>
                  </pic:nvPicPr>
                  <pic:blipFill>
                    <a:blip r:embed="rId78"/>
                    <a:stretch>
                      <a:fillRect/>
                    </a:stretch>
                  </pic:blipFill>
                  <pic:spPr bwMode="auto">
                    <a:xfrm>
                      <a:off x="0" y="0"/>
                      <a:ext cx="6734810" cy="695325"/>
                    </a:xfrm>
                    <a:prstGeom prst="rect">
                      <a:avLst/>
                    </a:prstGeom>
                    <a:noFill/>
                  </pic:spPr>
                </pic:pic>
              </a:graphicData>
            </a:graphic>
          </wp:inline>
        </w:drawing>
      </w:r>
      <w:r>
        <w:rPr>
          <w:rFonts w:cs="Times New Roman" w:ascii="Times New Roman" w:hAnsi="Times New Roman"/>
          <w:sz w:val="16"/>
          <w:szCs w:val="24"/>
        </w:rPr>
        <w:t xml:space="preserve"> </w:t>
      </w:r>
      <w:r>
        <w:rPr>
          <w:rFonts w:cs="Times New Roman" w:ascii="Times New Roman" w:hAnsi="Times New Roman"/>
          <w:sz w:val="16"/>
          <w:szCs w:val="24"/>
        </w:rPr>
        <w:t>(1) Referem-se aos recebimentos de recursos provenientes da União, único acionista da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 os recursos são registrados na LOA como investimento.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25.3. Saldo das Reservas Após a Destinação do Resultado</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25.3.1 Saldo das Reservas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50685" cy="1219200"/>
            <wp:effectExtent l="0" t="0" r="0" b="0"/>
            <wp:docPr id="56"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22"/>
                    <pic:cNvPicPr>
                      <a:picLocks noChangeAspect="1" noChangeArrowheads="1"/>
                    </pic:cNvPicPr>
                  </pic:nvPicPr>
                  <pic:blipFill>
                    <a:blip r:embed="rId79"/>
                    <a:stretch>
                      <a:fillRect/>
                    </a:stretch>
                  </pic:blipFill>
                  <pic:spPr bwMode="auto">
                    <a:xfrm>
                      <a:off x="0" y="0"/>
                      <a:ext cx="6750685" cy="1219200"/>
                    </a:xfrm>
                    <a:prstGeom prst="rect">
                      <a:avLst/>
                    </a:prstGeom>
                    <a:noFill/>
                  </pic:spPr>
                </pic:pic>
              </a:graphicData>
            </a:graphic>
          </wp:inline>
        </w:drawing>
      </w:r>
      <w:r>
        <w:rPr>
          <w:rFonts w:cs="Times New Roman" w:ascii="Times New Roman" w:hAnsi="Times New Roman"/>
          <w:sz w:val="16"/>
          <w:szCs w:val="24"/>
        </w:rPr>
        <w:t xml:space="preserve"> </w:t>
      </w:r>
      <w:r>
        <w:rPr>
          <w:rFonts w:cs="Times New Roman" w:ascii="Times New Roman" w:hAnsi="Times New Roman"/>
          <w:sz w:val="16"/>
          <w:szCs w:val="24"/>
        </w:rPr>
        <w:t>(1) A deliberação do Resultado de 2025, pela Assembleia Geral Ordinária, foi solicitada via parecer Técnico 1/2026 DGAC/DRADM da seguinte forma: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a) R$ 4.337 mil lançado na Reserva Legal;</w:t>
      </w:r>
    </w:p>
    <w:p>
      <w:pPr>
        <w:pStyle w:val="ListParagraph"/>
        <w:spacing w:lineRule="auto" w:line="240" w:before="0" w:after="0"/>
        <w:ind w:hanging="142" w:start="142"/>
        <w:contextualSpacing/>
        <w:jc w:val="both"/>
        <w:rPr>
          <w:rFonts w:ascii="Times New Roman" w:hAnsi="Times New Roman" w:cs="Times New Roman"/>
          <w:sz w:val="16"/>
          <w:szCs w:val="24"/>
        </w:rPr>
      </w:pPr>
      <w:r>
        <w:rPr>
          <w:rFonts w:cs="Times New Roman" w:ascii="Times New Roman" w:hAnsi="Times New Roman"/>
          <w:color w:val="FF0000"/>
          <w:sz w:val="16"/>
          <w:szCs w:val="24"/>
        </w:rPr>
        <w:t xml:space="preserve">  </w:t>
      </w:r>
      <w:r>
        <w:rPr>
          <w:rFonts w:cs="Times New Roman" w:ascii="Times New Roman" w:hAnsi="Times New Roman"/>
          <w:sz w:val="16"/>
          <w:szCs w:val="24"/>
        </w:rPr>
        <w:t>b) R$61.807 mil lançado na Reserva para Investimentos; 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c) R$ 20.602 mil lançado na Reserva Especial de Dividendos.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26. RECEITA OPERACIONAL LÍQUIDA</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62750" cy="3933825"/>
            <wp:effectExtent l="0" t="0" r="0" b="0"/>
            <wp:docPr id="57"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m 61"/>
                    <pic:cNvPicPr>
                      <a:picLocks noChangeAspect="1" noChangeArrowheads="1"/>
                    </pic:cNvPicPr>
                  </pic:nvPicPr>
                  <pic:blipFill>
                    <a:blip r:embed="rId80"/>
                    <a:stretch>
                      <a:fillRect/>
                    </a:stretch>
                  </pic:blipFill>
                  <pic:spPr bwMode="auto">
                    <a:xfrm>
                      <a:off x="0" y="0"/>
                      <a:ext cx="6762750" cy="39338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(1) Em relação ao 1º TRIM 2026 faturamento da empresa decorrente de:</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a) faturamento de R$ 14.017 mil em contratos da empresa: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A Filial FPV o valor de R$ 10.078 mil;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A filial REPI o valor de R$ 448 mil pela venda excedente de energia elétrica no mercado livre;</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A Filial FMCE o valor de R$ 46 mil;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A Filial FI o valor de R$ 1.392 mil e;</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A Filial FE o valor de R$ 2.053 mil.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(2) Faturamento de Industrializações por Encomenda (IPE) e serviços prestados no valor de R$ 8.858 mil: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A Filial FPV o valor de R$ 8.774 mil de Industrializações por Encomenda (IPE) e o valor de R$ 55 mil de Serviços prestados;</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xml:space="preserve">- A Filial FI o valor de R$ 28 mil de Serviços prestados;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(3) Cancelamento de vendas: O corrido na filial FPV no valor de R$ 387 mil de devolução de industrialização por encomenda no período.</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27. CUSTOS DOS PRODUTOS VENDIDOS E DOS SERVIÇOS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27.1. Custos de Vendas Nacionais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43700" cy="1038225"/>
            <wp:effectExtent l="0" t="0" r="0" b="0"/>
            <wp:docPr id="58"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m 62"/>
                    <pic:cNvPicPr>
                      <a:picLocks noChangeAspect="1" noChangeArrowheads="1"/>
                    </pic:cNvPicPr>
                  </pic:nvPicPr>
                  <pic:blipFill>
                    <a:blip r:embed="rId81"/>
                    <a:stretch>
                      <a:fillRect/>
                    </a:stretch>
                  </pic:blipFill>
                  <pic:spPr bwMode="auto">
                    <a:xfrm>
                      <a:off x="0" y="0"/>
                      <a:ext cx="6743700" cy="10382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27.2. Custos de Vendas Internacionais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62750" cy="733425"/>
            <wp:effectExtent l="0" t="0" r="0" b="0"/>
            <wp:docPr id="59"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m 63"/>
                    <pic:cNvPicPr>
                      <a:picLocks noChangeAspect="1" noChangeArrowheads="1"/>
                    </pic:cNvPicPr>
                  </pic:nvPicPr>
                  <pic:blipFill>
                    <a:blip r:embed="rId82"/>
                    <a:stretch>
                      <a:fillRect/>
                    </a:stretch>
                  </pic:blipFill>
                  <pic:spPr bwMode="auto">
                    <a:xfrm>
                      <a:off x="0" y="0"/>
                      <a:ext cx="6762750" cy="7334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27.3. Custos de Industrializações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53225" cy="628650"/>
            <wp:effectExtent l="0" t="0" r="0" b="0"/>
            <wp:docPr id="60"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m 64"/>
                    <pic:cNvPicPr>
                      <a:picLocks noChangeAspect="1" noChangeArrowheads="1"/>
                    </pic:cNvPicPr>
                  </pic:nvPicPr>
                  <pic:blipFill>
                    <a:blip r:embed="rId83"/>
                    <a:stretch>
                      <a:fillRect/>
                    </a:stretch>
                  </pic:blipFill>
                  <pic:spPr bwMode="auto">
                    <a:xfrm>
                      <a:off x="0" y="0"/>
                      <a:ext cx="6753225" cy="62865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27.4. Custos dos Serviços Prestados e Revenda de Mercadorias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24650" cy="628650"/>
            <wp:effectExtent l="0" t="0" r="0" b="0"/>
            <wp:docPr id="61"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m 65"/>
                    <pic:cNvPicPr>
                      <a:picLocks noChangeAspect="1" noChangeArrowheads="1"/>
                    </pic:cNvPicPr>
                  </pic:nvPicPr>
                  <pic:blipFill>
                    <a:blip r:embed="rId84"/>
                    <a:stretch>
                      <a:fillRect/>
                    </a:stretch>
                  </pic:blipFill>
                  <pic:spPr bwMode="auto">
                    <a:xfrm>
                      <a:off x="0" y="0"/>
                      <a:ext cx="6724650" cy="62865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27.5. Recuperação de Custos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 xml:space="preserve"> </w:t>
      </w:r>
      <w:r>
        <w:rPr/>
        <w:drawing>
          <wp:inline distT="0" distB="0" distL="0" distR="0">
            <wp:extent cx="6724650" cy="1200150"/>
            <wp:effectExtent l="0" t="0" r="0" b="0"/>
            <wp:docPr id="62"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m 66"/>
                    <pic:cNvPicPr>
                      <a:picLocks noChangeAspect="1" noChangeArrowheads="1"/>
                    </pic:cNvPicPr>
                  </pic:nvPicPr>
                  <pic:blipFill>
                    <a:blip r:embed="rId85"/>
                    <a:stretch>
                      <a:fillRect/>
                    </a:stretch>
                  </pic:blipFill>
                  <pic:spPr bwMode="auto">
                    <a:xfrm>
                      <a:off x="0" y="0"/>
                      <a:ext cx="6724650" cy="1200150"/>
                    </a:xfrm>
                    <a:prstGeom prst="rect">
                      <a:avLst/>
                    </a:prstGeom>
                    <a:noFill/>
                  </pic:spPr>
                </pic:pic>
              </a:graphicData>
            </a:graphic>
          </wp:inline>
        </w:drawing>
      </w:r>
    </w:p>
    <w:p>
      <w:pPr>
        <w:pStyle w:val="Normal"/>
        <w:spacing w:lineRule="auto" w:line="240" w:before="0" w:after="0"/>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28. MANUTENÇÃO DE CAPACIDADE ESTRATÉGICA </w:t>
      </w:r>
      <w:r>
        <w:rPr>
          <w:rFonts w:cs="Times New Roman" w:ascii="Times New Roman" w:hAnsi="Times New Roman"/>
          <w:b/>
          <w:sz w:val="24"/>
          <w:szCs w:val="24"/>
          <w:vertAlign w:val="superscript"/>
        </w:rPr>
        <w:t>(1)</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color w:themeColor="text1" w:val="000000"/>
          <w:sz w:val="16"/>
          <w:szCs w:val="24"/>
        </w:rPr>
      </w:pPr>
      <w:r>
        <w:rPr/>
        <w:drawing>
          <wp:inline distT="0" distB="0" distL="0" distR="0">
            <wp:extent cx="6772275" cy="1009650"/>
            <wp:effectExtent l="0" t="0" r="0" b="0"/>
            <wp:docPr id="63"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m 67"/>
                    <pic:cNvPicPr>
                      <a:picLocks noChangeAspect="1" noChangeArrowheads="1"/>
                    </pic:cNvPicPr>
                  </pic:nvPicPr>
                  <pic:blipFill>
                    <a:blip r:embed="rId86"/>
                    <a:stretch>
                      <a:fillRect/>
                    </a:stretch>
                  </pic:blipFill>
                  <pic:spPr bwMode="auto">
                    <a:xfrm>
                      <a:off x="0" y="0"/>
                      <a:ext cx="6772275" cy="1009650"/>
                    </a:xfrm>
                    <a:prstGeom prst="rect">
                      <a:avLst/>
                    </a:prstGeom>
                    <a:noFill/>
                  </pic:spPr>
                </pic:pic>
              </a:graphicData>
            </a:graphic>
          </wp:inline>
        </w:drawing>
      </w:r>
      <w:r>
        <w:rPr>
          <w:rFonts w:cs="Times New Roman" w:ascii="Times New Roman" w:hAnsi="Times New Roman"/>
          <w:color w:val="FF0000"/>
          <w:sz w:val="16"/>
          <w:szCs w:val="24"/>
        </w:rPr>
        <w:t xml:space="preserve"> </w:t>
      </w:r>
      <w:r>
        <w:rPr>
          <w:rFonts w:cs="Times New Roman" w:ascii="Times New Roman" w:hAnsi="Times New Roman"/>
          <w:color w:themeColor="text1" w:val="000000"/>
          <w:sz w:val="16"/>
          <w:szCs w:val="24"/>
        </w:rPr>
        <w:t>(1) O conceito da Manutenção da Capacidade Estratégica está descrito na Nota Explicativa número 8.19.</w:t>
      </w:r>
    </w:p>
    <w:p>
      <w:pPr>
        <w:pStyle w:val="Normal"/>
        <w:spacing w:lineRule="auto" w:line="240" w:before="0" w:after="0"/>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A variação de 0,8% na Manutenção da Capacidade Estratégica, justifica-se pelos fatores:</w:t>
      </w:r>
    </w:p>
    <w:p>
      <w:pPr>
        <w:pStyle w:val="ListParagraph"/>
        <w:spacing w:lineRule="auto" w:line="240" w:before="0" w:after="0"/>
        <w:ind w:hanging="142" w:start="142"/>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a) Baixa demanda de venda de alguns produtos estratégicos do portfólio da IMBEL</w:t>
      </w:r>
      <w:r>
        <w:rPr>
          <w:rFonts w:cs="Arial" w:ascii="Arial" w:hAnsi="Arial"/>
          <w:color w:themeColor="text1" w:val="000000"/>
          <w:sz w:val="16"/>
          <w:szCs w:val="24"/>
          <w:vertAlign w:val="superscript"/>
        </w:rPr>
        <w:t>®</w:t>
      </w:r>
      <w:r>
        <w:rPr>
          <w:rFonts w:cs="Times New Roman" w:ascii="Times New Roman" w:hAnsi="Times New Roman"/>
          <w:color w:themeColor="text1" w:val="000000"/>
          <w:sz w:val="16"/>
          <w:szCs w:val="24"/>
        </w:rPr>
        <w:t>; e</w:t>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b) Insuficiência de recursos para aquisição de insumos: Essa situação limita o uso integral da capacidade produtiva instalada. Como alternativa, a IMBEL</w:t>
      </w:r>
      <w:r>
        <w:rPr>
          <w:rFonts w:cs="Arial" w:ascii="Arial" w:hAnsi="Arial"/>
          <w:color w:themeColor="text1" w:val="000000"/>
          <w:sz w:val="16"/>
          <w:szCs w:val="24"/>
          <w:vertAlign w:val="superscript"/>
        </w:rPr>
        <w:t>®</w:t>
      </w:r>
      <w:r>
        <w:rPr>
          <w:rFonts w:cs="Times New Roman" w:ascii="Times New Roman" w:hAnsi="Times New Roman"/>
          <w:color w:themeColor="text1" w:val="000000"/>
          <w:sz w:val="16"/>
          <w:szCs w:val="24"/>
        </w:rPr>
        <w:t xml:space="preserve"> está trabalhando para a expansão orçamentária na busca de fontes de financiamentos complementares, como Industrialização por Encomenda (IPE), Termos de Execução Descentralizada (TED), que garantem a produção sem depender exclusivamente dos recursos aprovados na Lei Orçamentária Anual (LOA).</w:t>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A IMBEL</w:t>
      </w:r>
      <w:r>
        <w:rPr>
          <w:rFonts w:cs="Arial" w:ascii="Arial" w:hAnsi="Arial"/>
          <w:color w:themeColor="text1" w:val="000000"/>
          <w:sz w:val="16"/>
          <w:szCs w:val="24"/>
          <w:vertAlign w:val="superscript"/>
        </w:rPr>
        <w:t xml:space="preserve">® </w:t>
      </w:r>
      <w:r>
        <w:rPr>
          <w:rFonts w:cs="Times New Roman" w:ascii="Times New Roman" w:hAnsi="Times New Roman"/>
          <w:color w:themeColor="text1" w:val="000000"/>
          <w:sz w:val="16"/>
          <w:szCs w:val="24"/>
        </w:rPr>
        <w:t>está trabalhando revisão da IN 00.I.I-001 MCE, modificando sua nomenclatura para CEM (Capacidade Estratégica Mobilizável) adequando os conceitos e registros das despesas nas demonstrações da empresa enviadas para consenso pelo SEI 65251.005686/2025-85.</w:t>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(2) Os valores da Mão de Obra Ociosa não cresceram na mesma proporção dos Gastos Gerais de Fabricação com a Ociosidade devido:</w:t>
      </w:r>
    </w:p>
    <w:p>
      <w:pPr>
        <w:pStyle w:val="ListParagraph"/>
        <w:numPr>
          <w:ilvl w:val="0"/>
          <w:numId w:val="5"/>
        </w:numPr>
        <w:spacing w:lineRule="auto" w:line="240" w:before="0" w:after="0"/>
        <w:ind w:hanging="142" w:start="142"/>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 xml:space="preserve"> </w:t>
      </w:r>
      <w:r>
        <w:rPr>
          <w:rFonts w:cs="Times New Roman" w:ascii="Times New Roman" w:hAnsi="Times New Roman"/>
          <w:color w:themeColor="text1" w:val="000000"/>
          <w:sz w:val="16"/>
          <w:szCs w:val="24"/>
        </w:rPr>
        <w:t xml:space="preserve">A realocação administrativa de pessoal para Plantas Fabris que estavam produtivas à época; </w:t>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28.1.  DISTRIBUIÇÃO DA MANUTENÇÃO DA CAPACIDADE ESTRATÉGICA POR FÁBRICA</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rPr>
      </w:pPr>
      <w:r>
        <w:rPr>
          <w:rFonts w:cs="Times New Roman" w:ascii="Times New Roman" w:hAnsi="Times New Roman"/>
          <w:b/>
        </w:rPr>
        <w:t xml:space="preserve">                                                                                                                                                                                     </w:t>
      </w:r>
      <w:r>
        <w:rPr>
          <w:rFonts w:cs="Times New Roman" w:ascii="Times New Roman" w:hAnsi="Times New Roman"/>
          <w:b/>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800850" cy="3209925"/>
            <wp:effectExtent l="0" t="0" r="0" b="0"/>
            <wp:docPr id="64"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m 69"/>
                    <pic:cNvPicPr>
                      <a:picLocks noChangeAspect="1" noChangeArrowheads="1"/>
                    </pic:cNvPicPr>
                  </pic:nvPicPr>
                  <pic:blipFill>
                    <a:blip r:embed="rId87"/>
                    <a:stretch>
                      <a:fillRect/>
                    </a:stretch>
                  </pic:blipFill>
                  <pic:spPr bwMode="auto">
                    <a:xfrm>
                      <a:off x="0" y="0"/>
                      <a:ext cx="6800850" cy="32099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29. DESPESAS ADMINISTRATIVAS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ListParagraph"/>
        <w:spacing w:lineRule="auto" w:line="240" w:before="0" w:after="0"/>
        <w:ind w:start="0"/>
        <w:contextualSpacing/>
        <w:jc w:val="both"/>
        <w:rPr>
          <w:rFonts w:ascii="Times New Roman" w:hAnsi="Times New Roman" w:cs="Times New Roman"/>
          <w:sz w:val="16"/>
          <w:szCs w:val="24"/>
        </w:rPr>
      </w:pPr>
      <w:r>
        <w:rPr/>
        <w:drawing>
          <wp:inline distT="0" distB="0" distL="0" distR="0">
            <wp:extent cx="6750050" cy="5954395"/>
            <wp:effectExtent l="0" t="0" r="0" b="0"/>
            <wp:docPr id="6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23"/>
                    <pic:cNvPicPr>
                      <a:picLocks noChangeAspect="1" noChangeArrowheads="1"/>
                    </pic:cNvPicPr>
                  </pic:nvPicPr>
                  <pic:blipFill>
                    <a:blip r:embed="rId88"/>
                    <a:stretch>
                      <a:fillRect/>
                    </a:stretch>
                  </pic:blipFill>
                  <pic:spPr bwMode="auto">
                    <a:xfrm>
                      <a:off x="0" y="0"/>
                      <a:ext cx="6750050" cy="5954395"/>
                    </a:xfrm>
                    <a:prstGeom prst="rect">
                      <a:avLst/>
                    </a:prstGeom>
                    <a:noFill/>
                  </pic:spPr>
                </pic:pic>
              </a:graphicData>
            </a:graphic>
          </wp:inline>
        </w:drawing>
      </w:r>
      <w:r>
        <w:rPr>
          <w:rFonts w:cs="Times New Roman" w:ascii="Times New Roman" w:hAnsi="Times New Roman"/>
          <w:sz w:val="16"/>
          <w:szCs w:val="24"/>
        </w:rPr>
        <w:t xml:space="preserve"> </w:t>
      </w:r>
    </w:p>
    <w:p>
      <w:pPr>
        <w:pStyle w:val="ListParagraph"/>
        <w:spacing w:lineRule="auto" w:line="240" w:before="0" w:after="0"/>
        <w:ind w:start="0"/>
        <w:contextualSpacing/>
        <w:jc w:val="both"/>
        <w:rPr>
          <w:rFonts w:ascii="Times New Roman" w:hAnsi="Times New Roman" w:cs="Times New Roman"/>
          <w:sz w:val="16"/>
          <w:szCs w:val="24"/>
        </w:rPr>
      </w:pPr>
      <w:r>
        <w:rPr/>
        <w:drawing>
          <wp:inline distT="0" distB="0" distL="0" distR="0">
            <wp:extent cx="6744970" cy="972820"/>
            <wp:effectExtent l="0" t="0" r="0" b="0"/>
            <wp:docPr id="6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24"/>
                    <pic:cNvPicPr>
                      <a:picLocks noChangeAspect="1" noChangeArrowheads="1"/>
                    </pic:cNvPicPr>
                  </pic:nvPicPr>
                  <pic:blipFill>
                    <a:blip r:embed="rId89"/>
                    <a:stretch>
                      <a:fillRect/>
                    </a:stretch>
                  </pic:blipFill>
                  <pic:spPr bwMode="auto">
                    <a:xfrm>
                      <a:off x="0" y="0"/>
                      <a:ext cx="6744970" cy="972820"/>
                    </a:xfrm>
                    <a:prstGeom prst="rect">
                      <a:avLst/>
                    </a:prstGeom>
                    <a:noFill/>
                  </pic:spPr>
                </pic:pic>
              </a:graphicData>
            </a:graphic>
          </wp:inline>
        </w:drawing>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(1) O aumento da despesa de salários, refere-se aumento devido a variação do ACT 2024/2026;</w:t>
      </w:r>
    </w:p>
    <w:p>
      <w:pPr>
        <w:pStyle w:val="ListParagraph"/>
        <w:spacing w:lineRule="auto" w:line="240" w:before="0" w:after="0"/>
        <w:ind w:start="0"/>
        <w:contextualSpacing/>
        <w:jc w:val="both"/>
        <w:rPr>
          <w:rFonts w:ascii="Times New Roman" w:hAnsi="Times New Roman" w:cs="Times New Roman"/>
          <w:color w:val="FF0000"/>
          <w:sz w:val="16"/>
          <w:szCs w:val="24"/>
        </w:rPr>
      </w:pPr>
      <w:r>
        <w:rPr>
          <w:rFonts w:cs="Times New Roman" w:ascii="Times New Roman" w:hAnsi="Times New Roman"/>
          <w:sz w:val="16"/>
          <w:szCs w:val="24"/>
        </w:rPr>
        <w:t>(2) O valor refere-se à nivelação de valores e reajustes de contratos de planos de saúde conforme data base e mudança de faixa etária de cada contrato dos beneficiários de reembolso e pagamento na FE e SEDE.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(3) O Valor da despesa refere-se na SEDE a contratação de consultoria tributária anual e na FMCE a contratação de serviços técnicos especializados de câmbio e negócio;</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(4) O valor refere-se ao consumo de água classificado na administração nas filiais FPV, FJF e FMCE.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(5) O valor das despesas com viagem devido à participação de feiras, eventos nacionais e internacionais na busca de novos mercados e visitas técnicas as filiais.</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(6) O valor refere-se ao pagamento de condenações judiciais de processos de natureza trabalhista nas filiais FPV, FMCE, FI, FE e SEDE.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(7) O valor refere-se a despesa de energia elétrica ocorreu principalmente nas filiais FPV, FJF, FMCE e FE.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(8) O valor refere-se ao gasto com as manutenções preventivas de Imóveis conforme cronograma nas filiais FPV, FJF, FMCE e FE.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(9) O valor da despesa de Manutenção e Conservação Veículos ocorreu a manutenção da frota de forma preventiva nas filiais FPV, FJF, FMCE, FE.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(10) O Valor refere-se ao gasto com publicidades da empresa no período.</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(11) O valor refere-se ao gasto com serviços de manutenção e conservação de limpeza, serviço de vigilância e segurança patrimonial, serviços especializados de topográficos e segurança da área da REPI, prestação de serviço de implantação e manutenção do sistema produtivo da empresa.</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(12) O aumento do auxílio alimentação/refeição é consequência do reajuste aprovado pelo acordo coletivo 2024/2026, de R$656,00 para o valor R$795,00 (no primeiro ano acordo coletivo 2024/2025) e de R$795,00 para o valor R$1.000,00 (segundo ano do acordo coletivo 2025/2026), valores pagos de café da manhã nas filiais após decisão judicial e reclassificação na Sede de despesas lançadas como despesa de rateio de pessoal;</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(13) O valor refere-se a gastos com treinamentos e capacitação na área administrativa nas filiais FPV, FMCE, FE e SEDE.</w:t>
      </w:r>
    </w:p>
    <w:p>
      <w:pPr>
        <w:pStyle w:val="ListParagraph"/>
        <w:spacing w:lineRule="auto" w:line="240" w:before="0" w:after="0"/>
        <w:ind w:start="0"/>
        <w:contextualSpacing/>
        <w:jc w:val="both"/>
        <w:rPr>
          <w:rFonts w:ascii="Times New Roman" w:hAnsi="Times New Roman" w:cs="Times New Roman"/>
          <w:color w:val="FF0000"/>
          <w:sz w:val="16"/>
          <w:szCs w:val="24"/>
        </w:rPr>
      </w:pPr>
      <w:r>
        <w:rPr>
          <w:rFonts w:cs="Times New Roman" w:ascii="Times New Roman" w:hAnsi="Times New Roman"/>
          <w:sz w:val="16"/>
          <w:szCs w:val="24"/>
        </w:rPr>
        <w:t xml:space="preserve">(14) O valor da despesa refere-se a gasto com Uniformes e Material de segurança nas filiais FPV. FJF, FI e FE. </w:t>
      </w:r>
    </w:p>
    <w:p>
      <w:pPr>
        <w:pStyle w:val="ListParagraph"/>
        <w:spacing w:lineRule="auto" w:line="240" w:before="0" w:after="0"/>
        <w:ind w:start="0"/>
        <w:contextualSpacing/>
        <w:jc w:val="both"/>
        <w:rPr>
          <w:rFonts w:ascii="Times New Roman" w:hAnsi="Times New Roman" w:cs="Times New Roman"/>
          <w:color w:val="FF0000"/>
          <w:sz w:val="16"/>
          <w:szCs w:val="24"/>
        </w:rPr>
      </w:pPr>
      <w:r>
        <w:rPr>
          <w:rFonts w:cs="Times New Roman" w:ascii="Times New Roman" w:hAnsi="Times New Roman"/>
          <w:color w:val="FF0000"/>
          <w:sz w:val="16"/>
          <w:szCs w:val="24"/>
        </w:rPr>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29.1.  DISTRIBUIÇÃO DAS DESPESAS ADMINISTRATIVAS POR FÁBRICA</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694805" cy="1916430"/>
            <wp:effectExtent l="0" t="0" r="0" b="0"/>
            <wp:docPr id="6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25"/>
                    <pic:cNvPicPr>
                      <a:picLocks noChangeAspect="1" noChangeArrowheads="1"/>
                    </pic:cNvPicPr>
                  </pic:nvPicPr>
                  <pic:blipFill>
                    <a:blip r:embed="rId90"/>
                    <a:stretch>
                      <a:fillRect/>
                    </a:stretch>
                  </pic:blipFill>
                  <pic:spPr bwMode="auto">
                    <a:xfrm>
                      <a:off x="0" y="0"/>
                      <a:ext cx="6694805" cy="191643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6"/>
          <w:szCs w:val="6"/>
        </w:rPr>
      </w:pPr>
      <w:r>
        <w:rPr>
          <w:rFonts w:cs="Times New Roman" w:ascii="Times New Roman" w:hAnsi="Times New Roman"/>
          <w:b/>
          <w:sz w:val="6"/>
          <w:szCs w:val="6"/>
        </w:rPr>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Em todas as Filiais houve aumento de despesas de salários e benefícios devido a implementação do reajuste concedido do acordo coletivo 2024/2026.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(1) Na </w:t>
      </w:r>
      <w:r>
        <w:rPr>
          <w:rFonts w:cs="Times New Roman" w:ascii="Times New Roman" w:hAnsi="Times New Roman"/>
          <w:b/>
          <w:bCs/>
          <w:sz w:val="16"/>
          <w:szCs w:val="24"/>
        </w:rPr>
        <w:t>Filial FPV</w:t>
      </w:r>
      <w:r>
        <w:rPr>
          <w:rFonts w:cs="Times New Roman" w:ascii="Times New Roman" w:hAnsi="Times New Roman"/>
          <w:sz w:val="16"/>
          <w:szCs w:val="24"/>
        </w:rPr>
        <w:t xml:space="preserve">, destacam-se os seguintes gastos: </w:t>
      </w:r>
      <w:r>
        <w:rPr>
          <w:rFonts w:cs="Times New Roman" w:ascii="Times New Roman" w:hAnsi="Times New Roman"/>
          <w:b/>
          <w:bCs/>
          <w:sz w:val="16"/>
          <w:szCs w:val="24"/>
        </w:rPr>
        <w:t>Serviços de Terceiros (PJ):</w:t>
      </w:r>
      <w:r>
        <w:rPr>
          <w:rFonts w:cs="Times New Roman" w:ascii="Times New Roman" w:hAnsi="Times New Roman"/>
          <w:sz w:val="16"/>
          <w:szCs w:val="24"/>
        </w:rPr>
        <w:t xml:space="preserve"> R$ 814 mil (limpeza, conservação e segurança armada); </w:t>
      </w:r>
      <w:r>
        <w:rPr>
          <w:rFonts w:cs="Times New Roman" w:ascii="Times New Roman" w:hAnsi="Times New Roman"/>
          <w:b/>
          <w:bCs/>
          <w:sz w:val="16"/>
          <w:szCs w:val="24"/>
        </w:rPr>
        <w:t>Manutenção de Imóveis:</w:t>
      </w:r>
      <w:r>
        <w:rPr>
          <w:rFonts w:cs="Times New Roman" w:ascii="Times New Roman" w:hAnsi="Times New Roman"/>
          <w:sz w:val="16"/>
          <w:szCs w:val="24"/>
        </w:rPr>
        <w:t xml:space="preserve"> R$ 142 mil (conforme cronograma preventivo); </w:t>
      </w:r>
      <w:r>
        <w:rPr>
          <w:rFonts w:cs="Times New Roman" w:ascii="Times New Roman" w:hAnsi="Times New Roman"/>
          <w:b/>
          <w:bCs/>
          <w:sz w:val="16"/>
          <w:szCs w:val="24"/>
        </w:rPr>
        <w:t>Energia Elétrica:</w:t>
      </w:r>
      <w:r>
        <w:rPr>
          <w:rFonts w:cs="Times New Roman" w:ascii="Times New Roman" w:hAnsi="Times New Roman"/>
          <w:sz w:val="16"/>
          <w:szCs w:val="24"/>
        </w:rPr>
        <w:t xml:space="preserve"> R$ 25 mil (consumo administrativo); </w:t>
      </w:r>
      <w:r>
        <w:rPr>
          <w:rFonts w:cs="Times New Roman" w:ascii="Times New Roman" w:hAnsi="Times New Roman"/>
          <w:b/>
          <w:bCs/>
          <w:sz w:val="16"/>
          <w:szCs w:val="24"/>
        </w:rPr>
        <w:t>Manutenção de Veículos:</w:t>
      </w:r>
      <w:r>
        <w:rPr>
          <w:rFonts w:cs="Times New Roman" w:ascii="Times New Roman" w:hAnsi="Times New Roman"/>
          <w:sz w:val="16"/>
          <w:szCs w:val="24"/>
        </w:rPr>
        <w:t xml:space="preserve"> R$ 25 mil (revisões preventivas) e </w:t>
      </w:r>
      <w:r>
        <w:rPr>
          <w:rFonts w:cs="Times New Roman" w:ascii="Times New Roman" w:hAnsi="Times New Roman"/>
          <w:b/>
          <w:bCs/>
          <w:sz w:val="16"/>
          <w:szCs w:val="24"/>
        </w:rPr>
        <w:t>Despesas Legais e Judiciais:</w:t>
      </w:r>
      <w:r>
        <w:rPr>
          <w:rFonts w:cs="Times New Roman" w:ascii="Times New Roman" w:hAnsi="Times New Roman"/>
          <w:sz w:val="16"/>
          <w:szCs w:val="24"/>
        </w:rPr>
        <w:t xml:space="preserve"> R$ 17 mil (custas e honorários).</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(2) Na </w:t>
      </w:r>
      <w:r>
        <w:rPr>
          <w:rFonts w:cs="Times New Roman" w:ascii="Times New Roman" w:hAnsi="Times New Roman"/>
          <w:b/>
          <w:bCs/>
          <w:sz w:val="16"/>
          <w:szCs w:val="24"/>
        </w:rPr>
        <w:t>Filial FJF</w:t>
      </w:r>
      <w:r>
        <w:rPr>
          <w:rFonts w:cs="Times New Roman" w:ascii="Times New Roman" w:hAnsi="Times New Roman"/>
          <w:sz w:val="16"/>
          <w:szCs w:val="24"/>
        </w:rPr>
        <w:t xml:space="preserve">, as despesas concentraram-se majoritariamente nos seguintes itens: </w:t>
      </w:r>
      <w:r>
        <w:rPr>
          <w:rFonts w:cs="Times New Roman" w:ascii="Times New Roman" w:hAnsi="Times New Roman"/>
          <w:b/>
          <w:bCs/>
          <w:sz w:val="16"/>
          <w:szCs w:val="24"/>
        </w:rPr>
        <w:t>Serviços de Terceiros (PJ):</w:t>
      </w:r>
      <w:r>
        <w:rPr>
          <w:rFonts w:cs="Times New Roman" w:ascii="Times New Roman" w:hAnsi="Times New Roman"/>
          <w:sz w:val="16"/>
          <w:szCs w:val="24"/>
        </w:rPr>
        <w:t xml:space="preserve"> R$ 717 mil, referentes aos contratos de vigilância e segurança armada.; </w:t>
      </w:r>
      <w:r>
        <w:rPr>
          <w:rFonts w:cs="Times New Roman" w:ascii="Times New Roman" w:hAnsi="Times New Roman"/>
          <w:b/>
          <w:bCs/>
          <w:sz w:val="16"/>
          <w:szCs w:val="24"/>
        </w:rPr>
        <w:t>Conservação de Imóveis:</w:t>
      </w:r>
      <w:r>
        <w:rPr>
          <w:rFonts w:cs="Times New Roman" w:ascii="Times New Roman" w:hAnsi="Times New Roman"/>
          <w:sz w:val="16"/>
          <w:szCs w:val="24"/>
        </w:rPr>
        <w:t xml:space="preserve"> R$ 698 mil, destinados à manutenção predial; </w:t>
      </w:r>
      <w:r>
        <w:rPr>
          <w:rFonts w:cs="Times New Roman" w:ascii="Times New Roman" w:hAnsi="Times New Roman"/>
          <w:b/>
          <w:bCs/>
          <w:sz w:val="16"/>
          <w:szCs w:val="24"/>
        </w:rPr>
        <w:t>uniformes e EPIs:</w:t>
      </w:r>
      <w:r>
        <w:rPr>
          <w:rFonts w:cs="Times New Roman" w:ascii="Times New Roman" w:hAnsi="Times New Roman"/>
          <w:sz w:val="16"/>
          <w:szCs w:val="24"/>
        </w:rPr>
        <w:t xml:space="preserve"> R$ 35 mil para a aquisição de uniformes e materiais de segurança; e </w:t>
      </w:r>
      <w:r>
        <w:rPr>
          <w:rFonts w:cs="Times New Roman" w:ascii="Times New Roman" w:hAnsi="Times New Roman"/>
          <w:b/>
          <w:bCs/>
          <w:sz w:val="16"/>
          <w:szCs w:val="24"/>
        </w:rPr>
        <w:t>Manutenção de Veículos:</w:t>
      </w:r>
      <w:r>
        <w:rPr>
          <w:rFonts w:cs="Times New Roman" w:ascii="Times New Roman" w:hAnsi="Times New Roman"/>
          <w:sz w:val="16"/>
          <w:szCs w:val="24"/>
        </w:rPr>
        <w:t xml:space="preserve"> R$ 21 mil investidos na conservação da frota.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(3) Na </w:t>
      </w:r>
      <w:r>
        <w:rPr>
          <w:rFonts w:cs="Times New Roman" w:ascii="Times New Roman" w:hAnsi="Times New Roman"/>
          <w:b/>
          <w:bCs/>
          <w:sz w:val="16"/>
          <w:szCs w:val="24"/>
        </w:rPr>
        <w:t>Filial FMCE</w:t>
      </w:r>
      <w:r>
        <w:rPr>
          <w:rFonts w:cs="Times New Roman" w:ascii="Times New Roman" w:hAnsi="Times New Roman"/>
          <w:sz w:val="16"/>
          <w:szCs w:val="24"/>
        </w:rPr>
        <w:t xml:space="preserve">, as despesas principais estão distribuídas da seguinte forma: </w:t>
      </w:r>
      <w:r>
        <w:rPr>
          <w:rFonts w:cs="Times New Roman" w:ascii="Times New Roman" w:hAnsi="Times New Roman"/>
          <w:b/>
          <w:bCs/>
          <w:sz w:val="16"/>
          <w:szCs w:val="24"/>
        </w:rPr>
        <w:t>Manutenção de Imóveis:</w:t>
      </w:r>
      <w:r>
        <w:rPr>
          <w:rFonts w:cs="Times New Roman" w:ascii="Times New Roman" w:hAnsi="Times New Roman"/>
          <w:sz w:val="16"/>
          <w:szCs w:val="24"/>
        </w:rPr>
        <w:t xml:space="preserve"> R$ 183 mil em conservação predial; </w:t>
      </w:r>
      <w:r>
        <w:rPr>
          <w:rFonts w:cs="Times New Roman" w:ascii="Times New Roman" w:hAnsi="Times New Roman"/>
          <w:b/>
          <w:bCs/>
          <w:sz w:val="16"/>
          <w:szCs w:val="24"/>
        </w:rPr>
        <w:t>Serviços de Terceiros (PJ):</w:t>
      </w:r>
      <w:r>
        <w:rPr>
          <w:rFonts w:cs="Times New Roman" w:ascii="Times New Roman" w:hAnsi="Times New Roman"/>
          <w:sz w:val="16"/>
          <w:szCs w:val="24"/>
        </w:rPr>
        <w:t xml:space="preserve"> R$ 174 mil para vigilância e segurança patrimonial e R$ 18 mil em consultoria técnica (câmbio e negócios) e R$ 18 mil em treinamentos e impressões de manuais.; </w:t>
      </w:r>
      <w:r>
        <w:rPr>
          <w:rFonts w:cs="Times New Roman" w:ascii="Times New Roman" w:hAnsi="Times New Roman"/>
          <w:b/>
          <w:bCs/>
          <w:sz w:val="16"/>
          <w:szCs w:val="24"/>
        </w:rPr>
        <w:t>Despesas Legais e Judiciais:</w:t>
      </w:r>
      <w:r>
        <w:rPr>
          <w:rFonts w:cs="Times New Roman" w:ascii="Times New Roman" w:hAnsi="Times New Roman"/>
          <w:sz w:val="16"/>
          <w:szCs w:val="24"/>
        </w:rPr>
        <w:t xml:space="preserve"> R$ 170 mil destinados ao pagamento de condenações trabalhistas.; </w:t>
      </w:r>
      <w:r>
        <w:rPr>
          <w:rFonts w:cs="Times New Roman" w:ascii="Times New Roman" w:hAnsi="Times New Roman"/>
          <w:b/>
          <w:bCs/>
          <w:sz w:val="16"/>
          <w:szCs w:val="24"/>
        </w:rPr>
        <w:t>Viagens:</w:t>
      </w:r>
      <w:r>
        <w:rPr>
          <w:rFonts w:cs="Times New Roman" w:ascii="Times New Roman" w:hAnsi="Times New Roman"/>
          <w:sz w:val="16"/>
          <w:szCs w:val="24"/>
        </w:rPr>
        <w:t xml:space="preserve"> R$ 76 mil em deslocamentos; </w:t>
      </w:r>
      <w:r>
        <w:rPr>
          <w:rFonts w:cs="Times New Roman" w:ascii="Times New Roman" w:hAnsi="Times New Roman"/>
          <w:b/>
          <w:bCs/>
          <w:sz w:val="16"/>
          <w:szCs w:val="24"/>
        </w:rPr>
        <w:t>Energia Elétrica:</w:t>
      </w:r>
      <w:r>
        <w:rPr>
          <w:rFonts w:cs="Times New Roman" w:ascii="Times New Roman" w:hAnsi="Times New Roman"/>
          <w:sz w:val="16"/>
          <w:szCs w:val="24"/>
        </w:rPr>
        <w:t xml:space="preserve"> R$ 68 mil referentes ao consumo da unidade.</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(4) Na </w:t>
      </w:r>
      <w:r>
        <w:rPr>
          <w:rFonts w:cs="Times New Roman" w:ascii="Times New Roman" w:hAnsi="Times New Roman"/>
          <w:b/>
          <w:bCs/>
          <w:sz w:val="16"/>
          <w:szCs w:val="24"/>
        </w:rPr>
        <w:t>Filial FI</w:t>
      </w:r>
      <w:r>
        <w:rPr>
          <w:rFonts w:cs="Times New Roman" w:ascii="Times New Roman" w:hAnsi="Times New Roman"/>
          <w:sz w:val="16"/>
          <w:szCs w:val="24"/>
        </w:rPr>
        <w:t xml:space="preserve"> o valor das despesas refere-se: </w:t>
      </w:r>
      <w:r>
        <w:rPr>
          <w:rFonts w:cs="Times New Roman" w:ascii="Times New Roman" w:hAnsi="Times New Roman"/>
          <w:b/>
          <w:bCs/>
          <w:sz w:val="16"/>
          <w:szCs w:val="24"/>
        </w:rPr>
        <w:t>Serviços de Terceiros (PJ):</w:t>
      </w:r>
      <w:r>
        <w:rPr>
          <w:rFonts w:cs="Times New Roman" w:ascii="Times New Roman" w:hAnsi="Times New Roman"/>
          <w:sz w:val="16"/>
          <w:szCs w:val="24"/>
        </w:rPr>
        <w:t xml:space="preserve"> R$ 808 mil, abrangendo contratos de conservação e limpeza, vigilância armada, além de serviços técnicos de segurança de barragem e levantamento topográfico da REPI.; </w:t>
      </w:r>
      <w:r>
        <w:rPr>
          <w:rFonts w:cs="Times New Roman" w:ascii="Times New Roman" w:hAnsi="Times New Roman"/>
          <w:b/>
          <w:bCs/>
          <w:sz w:val="16"/>
          <w:szCs w:val="24"/>
        </w:rPr>
        <w:t>Despesas Legais e Judiciais:</w:t>
      </w:r>
      <w:r>
        <w:rPr>
          <w:rFonts w:cs="Times New Roman" w:ascii="Times New Roman" w:hAnsi="Times New Roman"/>
          <w:sz w:val="16"/>
          <w:szCs w:val="24"/>
        </w:rPr>
        <w:t xml:space="preserve"> R$ 101 mil, destinados ao pagamento de condenações em processos trabalhistas; </w:t>
      </w:r>
      <w:r>
        <w:rPr>
          <w:rFonts w:cs="Times New Roman" w:ascii="Times New Roman" w:hAnsi="Times New Roman"/>
          <w:b/>
          <w:bCs/>
          <w:sz w:val="16"/>
          <w:szCs w:val="24"/>
        </w:rPr>
        <w:t>Manutenção de Veículos:</w:t>
      </w:r>
      <w:r>
        <w:rPr>
          <w:rFonts w:cs="Times New Roman" w:ascii="Times New Roman" w:hAnsi="Times New Roman"/>
          <w:sz w:val="16"/>
          <w:szCs w:val="24"/>
        </w:rPr>
        <w:t xml:space="preserve"> R$ 25 mil investidos em manutenção preventiva de veículos.</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(5) Na </w:t>
      </w:r>
      <w:r>
        <w:rPr>
          <w:rFonts w:cs="Times New Roman" w:ascii="Times New Roman" w:hAnsi="Times New Roman"/>
          <w:b/>
          <w:bCs/>
          <w:sz w:val="16"/>
          <w:szCs w:val="24"/>
        </w:rPr>
        <w:t>Filial FE</w:t>
      </w:r>
      <w:r>
        <w:rPr>
          <w:rFonts w:cs="Times New Roman" w:ascii="Times New Roman" w:hAnsi="Times New Roman"/>
          <w:sz w:val="16"/>
          <w:szCs w:val="24"/>
        </w:rPr>
        <w:t xml:space="preserve"> as despesas distribuem-se da seguinte forma: </w:t>
      </w:r>
      <w:r>
        <w:rPr>
          <w:rFonts w:cs="Times New Roman" w:ascii="Times New Roman" w:hAnsi="Times New Roman"/>
          <w:b/>
          <w:bCs/>
          <w:sz w:val="16"/>
          <w:szCs w:val="24"/>
        </w:rPr>
        <w:t>Serviços de Terceiros (PJ):</w:t>
      </w:r>
      <w:r>
        <w:rPr>
          <w:rFonts w:cs="Times New Roman" w:ascii="Times New Roman" w:hAnsi="Times New Roman"/>
          <w:sz w:val="16"/>
          <w:szCs w:val="24"/>
        </w:rPr>
        <w:t xml:space="preserve"> R$ 1.067 mil, destinados aos contratos de conservação, limpeza, vigilância armada e manutenção de áreas verdes.; </w:t>
      </w:r>
      <w:r>
        <w:rPr>
          <w:rFonts w:cs="Times New Roman" w:ascii="Times New Roman" w:hAnsi="Times New Roman"/>
          <w:b/>
          <w:bCs/>
          <w:sz w:val="16"/>
          <w:szCs w:val="24"/>
        </w:rPr>
        <w:t>Energia Elétrica:</w:t>
      </w:r>
      <w:r>
        <w:rPr>
          <w:rFonts w:cs="Times New Roman" w:ascii="Times New Roman" w:hAnsi="Times New Roman"/>
          <w:sz w:val="16"/>
          <w:szCs w:val="24"/>
        </w:rPr>
        <w:t xml:space="preserve"> R$ 103 mil, referente ao consumo das instalações administrativas.; </w:t>
      </w:r>
      <w:r>
        <w:rPr>
          <w:rFonts w:cs="Times New Roman" w:ascii="Times New Roman" w:hAnsi="Times New Roman"/>
          <w:b/>
          <w:bCs/>
          <w:sz w:val="16"/>
          <w:szCs w:val="24"/>
        </w:rPr>
        <w:t>Manutenção de Imóveis:</w:t>
      </w:r>
      <w:r>
        <w:rPr>
          <w:rFonts w:cs="Times New Roman" w:ascii="Times New Roman" w:hAnsi="Times New Roman"/>
          <w:sz w:val="16"/>
          <w:szCs w:val="24"/>
        </w:rPr>
        <w:t xml:space="preserve"> R$ 96 mil, realizados conforme o cronograma de manutenção preventiva; D</w:t>
      </w:r>
      <w:r>
        <w:rPr>
          <w:rFonts w:cs="Times New Roman" w:ascii="Times New Roman" w:hAnsi="Times New Roman"/>
          <w:b/>
          <w:bCs/>
          <w:sz w:val="16"/>
          <w:szCs w:val="24"/>
        </w:rPr>
        <w:t>espesas Legais e Judiciais:</w:t>
      </w:r>
      <w:r>
        <w:rPr>
          <w:rFonts w:cs="Times New Roman" w:ascii="Times New Roman" w:hAnsi="Times New Roman"/>
          <w:sz w:val="16"/>
          <w:szCs w:val="24"/>
        </w:rPr>
        <w:t xml:space="preserve"> R$ 34 mil, aplicados no pagamento de custas e condenações em processos trabalhistas e </w:t>
      </w:r>
      <w:r>
        <w:rPr>
          <w:rFonts w:cs="Times New Roman" w:ascii="Times New Roman" w:hAnsi="Times New Roman"/>
          <w:b/>
          <w:bCs/>
          <w:sz w:val="16"/>
          <w:szCs w:val="24"/>
        </w:rPr>
        <w:t>Viagens:</w:t>
      </w:r>
      <w:r>
        <w:rPr>
          <w:rFonts w:cs="Times New Roman" w:ascii="Times New Roman" w:hAnsi="Times New Roman"/>
          <w:sz w:val="16"/>
          <w:szCs w:val="24"/>
        </w:rPr>
        <w:t xml:space="preserve"> R$ 12 mil em despesas de deslocamento.</w:t>
      </w:r>
    </w:p>
    <w:p>
      <w:pPr>
        <w:pStyle w:val="ListParagraph"/>
        <w:spacing w:lineRule="auto" w:line="240" w:before="0" w:after="0"/>
        <w:ind w:start="0"/>
        <w:contextualSpacing/>
        <w:jc w:val="both"/>
        <w:rPr>
          <w:rFonts w:ascii="Times New Roman" w:hAnsi="Times New Roman" w:cs="Times New Roman"/>
          <w:color w:val="FF0000"/>
          <w:sz w:val="16"/>
          <w:szCs w:val="24"/>
        </w:rPr>
      </w:pPr>
      <w:r>
        <w:rPr>
          <w:rFonts w:cs="Times New Roman" w:ascii="Times New Roman" w:hAnsi="Times New Roman"/>
          <w:color w:themeColor="text1" w:val="000000"/>
          <w:sz w:val="16"/>
          <w:szCs w:val="24"/>
        </w:rPr>
        <w:t xml:space="preserve">(6) Na </w:t>
      </w:r>
      <w:r>
        <w:rPr>
          <w:rFonts w:cs="Times New Roman" w:ascii="Times New Roman" w:hAnsi="Times New Roman"/>
          <w:b/>
          <w:bCs/>
          <w:color w:themeColor="text1" w:val="000000"/>
          <w:sz w:val="16"/>
          <w:szCs w:val="24"/>
        </w:rPr>
        <w:t>SEDE</w:t>
      </w:r>
      <w:r>
        <w:rPr>
          <w:rFonts w:cs="Times New Roman" w:ascii="Times New Roman" w:hAnsi="Times New Roman"/>
          <w:color w:themeColor="text1" w:val="000000"/>
          <w:sz w:val="16"/>
          <w:szCs w:val="24"/>
        </w:rPr>
        <w:t>, as variações nas despesas detalham-se</w:t>
      </w:r>
      <w:r>
        <w:rPr>
          <w:rFonts w:cs="Times New Roman" w:ascii="Times New Roman" w:hAnsi="Times New Roman"/>
          <w:sz w:val="16"/>
          <w:szCs w:val="24"/>
        </w:rPr>
        <w:t xml:space="preserve">: </w:t>
      </w:r>
      <w:r>
        <w:rPr>
          <w:rFonts w:cs="Times New Roman" w:ascii="Times New Roman" w:hAnsi="Times New Roman"/>
          <w:color w:themeColor="text1" w:val="000000"/>
          <w:sz w:val="16"/>
          <w:szCs w:val="24"/>
        </w:rPr>
        <w:t xml:space="preserve"> </w:t>
      </w:r>
      <w:r>
        <w:rPr>
          <w:rFonts w:cs="Times New Roman" w:ascii="Times New Roman" w:hAnsi="Times New Roman"/>
          <w:b/>
          <w:bCs/>
          <w:color w:themeColor="text1" w:val="000000"/>
          <w:sz w:val="16"/>
          <w:szCs w:val="24"/>
        </w:rPr>
        <w:t>Auxílio Alimentação/Refeição:</w:t>
      </w:r>
      <w:r>
        <w:rPr>
          <w:rFonts w:cs="Times New Roman" w:ascii="Times New Roman" w:hAnsi="Times New Roman"/>
          <w:color w:themeColor="text1" w:val="000000"/>
          <w:sz w:val="16"/>
          <w:szCs w:val="24"/>
        </w:rPr>
        <w:t xml:space="preserve"> R$ 1.130 mil. O aumento reflete o reajuste do Acordo Coletivo 2024/2026 — que elevou o benefício de R$ 656,00 para R$ 795,00 (1º ano) e para R$ 1.000,00 (2º ano) — além de reclassificações de despesas de rateio de pessoal; </w:t>
      </w:r>
      <w:r>
        <w:rPr>
          <w:rFonts w:cs="Times New Roman" w:ascii="Times New Roman" w:hAnsi="Times New Roman"/>
          <w:b/>
          <w:bCs/>
          <w:color w:themeColor="text1" w:val="000000"/>
          <w:sz w:val="16"/>
          <w:szCs w:val="24"/>
        </w:rPr>
        <w:t>Viagens e Ajuda de Custo:</w:t>
      </w:r>
      <w:r>
        <w:rPr>
          <w:rFonts w:cs="Times New Roman" w:ascii="Times New Roman" w:hAnsi="Times New Roman"/>
          <w:color w:themeColor="text1" w:val="000000"/>
          <w:sz w:val="16"/>
          <w:szCs w:val="24"/>
        </w:rPr>
        <w:t xml:space="preserve"> R$ 372 mil, destinados à prospecção de novos mercados e visitas técnicas às filiais; </w:t>
      </w:r>
      <w:r>
        <w:rPr>
          <w:rFonts w:cs="Times New Roman" w:ascii="Times New Roman" w:hAnsi="Times New Roman"/>
          <w:b/>
          <w:bCs/>
          <w:color w:themeColor="text1" w:val="000000"/>
          <w:sz w:val="16"/>
          <w:szCs w:val="24"/>
        </w:rPr>
        <w:t>Serviços de Terceiros (PJ):</w:t>
      </w:r>
      <w:r>
        <w:rPr>
          <w:rFonts w:cs="Times New Roman" w:ascii="Times New Roman" w:hAnsi="Times New Roman"/>
          <w:color w:themeColor="text1" w:val="000000"/>
          <w:sz w:val="16"/>
          <w:szCs w:val="24"/>
        </w:rPr>
        <w:t xml:space="preserve"> R$ 308 mil, abrangendo contratos de conservação e limpeza, além da implantação de módulos no sistema ERP;</w:t>
      </w:r>
      <w:r>
        <w:rPr>
          <w:b/>
          <w:bCs/>
        </w:rPr>
        <w:t xml:space="preserve"> </w:t>
      </w:r>
      <w:r>
        <w:rPr>
          <w:rFonts w:cs="Times New Roman" w:ascii="Times New Roman" w:hAnsi="Times New Roman"/>
          <w:b/>
          <w:bCs/>
          <w:color w:themeColor="text1" w:val="000000"/>
          <w:sz w:val="16"/>
          <w:szCs w:val="24"/>
        </w:rPr>
        <w:t>Despesas Judiciais:</w:t>
      </w:r>
      <w:r>
        <w:rPr>
          <w:rFonts w:cs="Times New Roman" w:ascii="Times New Roman" w:hAnsi="Times New Roman"/>
          <w:color w:themeColor="text1" w:val="000000"/>
          <w:sz w:val="16"/>
          <w:szCs w:val="24"/>
        </w:rPr>
        <w:t xml:space="preserve"> R$ 182 mil referentes a condenações judiciais; </w:t>
      </w:r>
      <w:r>
        <w:rPr>
          <w:rFonts w:cs="Times New Roman" w:ascii="Times New Roman" w:hAnsi="Times New Roman"/>
          <w:b/>
          <w:bCs/>
          <w:color w:themeColor="text1" w:val="000000"/>
          <w:sz w:val="16"/>
          <w:szCs w:val="24"/>
        </w:rPr>
        <w:t>Assistência Médica:</w:t>
      </w:r>
      <w:r>
        <w:rPr>
          <w:rFonts w:cs="Times New Roman" w:ascii="Times New Roman" w:hAnsi="Times New Roman"/>
          <w:color w:themeColor="text1" w:val="000000"/>
          <w:sz w:val="16"/>
          <w:szCs w:val="24"/>
        </w:rPr>
        <w:t xml:space="preserve"> R$ 138 mil, decorrentes da reclassificação de despesas rateadas e reembolsos de planos de saúde no período; </w:t>
      </w:r>
      <w:r>
        <w:rPr>
          <w:rFonts w:cs="Times New Roman" w:ascii="Times New Roman" w:hAnsi="Times New Roman"/>
          <w:b/>
          <w:bCs/>
          <w:color w:themeColor="text1" w:val="000000"/>
          <w:sz w:val="16"/>
          <w:szCs w:val="24"/>
        </w:rPr>
        <w:t>Consultoria e Assessoria:</w:t>
      </w:r>
      <w:r>
        <w:rPr>
          <w:rFonts w:cs="Times New Roman" w:ascii="Times New Roman" w:hAnsi="Times New Roman"/>
          <w:color w:themeColor="text1" w:val="000000"/>
          <w:sz w:val="16"/>
          <w:szCs w:val="24"/>
        </w:rPr>
        <w:t xml:space="preserve"> R$ 45 mil relativos à contratação de consultoria tributária anual.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tabs>
          <w:tab w:val="clear" w:pos="907"/>
          <w:tab w:val="center" w:pos="5245" w:leader="none"/>
        </w:tabs>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30. DESPESAS COMERCIAIS</w:t>
        <w:tab/>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2113915"/>
            <wp:effectExtent l="0" t="0" r="0" b="0"/>
            <wp:docPr id="6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26"/>
                    <pic:cNvPicPr>
                      <a:picLocks noChangeAspect="1" noChangeArrowheads="1"/>
                    </pic:cNvPicPr>
                  </pic:nvPicPr>
                  <pic:blipFill>
                    <a:blip r:embed="rId91"/>
                    <a:stretch>
                      <a:fillRect/>
                    </a:stretch>
                  </pic:blipFill>
                  <pic:spPr bwMode="auto">
                    <a:xfrm>
                      <a:off x="0" y="0"/>
                      <a:ext cx="6750685" cy="211391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31. DESPESAS TRIBUTÁRIAS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988695"/>
            <wp:effectExtent l="0" t="0" r="0" b="0"/>
            <wp:docPr id="6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27"/>
                    <pic:cNvPicPr>
                      <a:picLocks noChangeAspect="1" noChangeArrowheads="1"/>
                    </pic:cNvPicPr>
                  </pic:nvPicPr>
                  <pic:blipFill>
                    <a:blip r:embed="rId92"/>
                    <a:stretch>
                      <a:fillRect/>
                    </a:stretch>
                  </pic:blipFill>
                  <pic:spPr bwMode="auto">
                    <a:xfrm>
                      <a:off x="0" y="0"/>
                      <a:ext cx="6750685" cy="988695"/>
                    </a:xfrm>
                    <a:prstGeom prst="rect">
                      <a:avLst/>
                    </a:prstGeom>
                    <a:noFill/>
                  </pic:spPr>
                </pic:pic>
              </a:graphicData>
            </a:graphic>
          </wp:inline>
        </w:drawing>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 xml:space="preserve">(1) O valor da despesa tributária municipal ocorreu devido o pagamento de IPTU das filiais referentes ao exercício de 2026. </w:t>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 xml:space="preserve">(2) O valor da despesa tributária estadual ocorreu devido o pagamento do IPVA da frota da empresa e de ICMS referente a diferenças de alíquotas nas aquisições de do 1º TRIM 2026. </w:t>
      </w:r>
    </w:p>
    <w:p>
      <w:pPr>
        <w:pStyle w:val="Normal"/>
        <w:tabs>
          <w:tab w:val="clear" w:pos="907"/>
          <w:tab w:val="left" w:pos="4485" w:leader="none"/>
        </w:tabs>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32. DESPESAS DIVERSAS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48780" cy="1714500"/>
            <wp:effectExtent l="0" t="0" r="0" b="0"/>
            <wp:docPr id="7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28"/>
                    <pic:cNvPicPr>
                      <a:picLocks noChangeAspect="1" noChangeArrowheads="1"/>
                    </pic:cNvPicPr>
                  </pic:nvPicPr>
                  <pic:blipFill>
                    <a:blip r:embed="rId93"/>
                    <a:stretch>
                      <a:fillRect/>
                    </a:stretch>
                  </pic:blipFill>
                  <pic:spPr bwMode="auto">
                    <a:xfrm>
                      <a:off x="0" y="0"/>
                      <a:ext cx="6748780" cy="1714500"/>
                    </a:xfrm>
                    <a:prstGeom prst="rect">
                      <a:avLst/>
                    </a:prstGeom>
                    <a:noFill/>
                  </pic:spPr>
                </pic:pic>
              </a:graphicData>
            </a:graphic>
          </wp:inline>
        </w:drawing>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(1) O acréscimo na despesa de provisões judiciais ocorreu devido a reclassificação jurídica de processos na área cível e trabalhistas nas filiais FJF e FI.</w:t>
      </w:r>
    </w:p>
    <w:p>
      <w:pPr>
        <w:pStyle w:val="ListParagraph"/>
        <w:tabs>
          <w:tab w:val="clear" w:pos="907"/>
          <w:tab w:val="left" w:pos="7650" w:leader="none"/>
        </w:tabs>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(2) A rubrica despesas dedutíveis é proveniente de baixas de notas fiscais de TED 22-EME-017-00 encerrado em dezembro de 2025 reconhecida na época como ganho e baixa extemporânea realizada em março de 2026.</w:t>
      </w:r>
    </w:p>
    <w:p>
      <w:pPr>
        <w:pStyle w:val="ListParagraph"/>
        <w:tabs>
          <w:tab w:val="clear" w:pos="907"/>
          <w:tab w:val="left" w:pos="7650" w:leader="none"/>
        </w:tabs>
        <w:spacing w:lineRule="auto" w:line="240" w:before="0" w:after="0"/>
        <w:ind w:start="0"/>
        <w:contextualSpacing/>
        <w:jc w:val="both"/>
        <w:rPr>
          <w:rFonts w:ascii="Times New Roman" w:hAnsi="Times New Roman" w:cs="Times New Roman"/>
          <w:b/>
          <w:color w:val="FF0000"/>
          <w:sz w:val="16"/>
          <w:szCs w:val="16"/>
        </w:rPr>
      </w:pPr>
      <w:r>
        <w:rPr>
          <w:rFonts w:cs="Times New Roman" w:ascii="Times New Roman" w:hAnsi="Times New Roman"/>
          <w:b/>
          <w:color w:val="FF0000"/>
          <w:sz w:val="16"/>
          <w:szCs w:val="16"/>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33. RESULTADO TED</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62750" cy="409575"/>
            <wp:effectExtent l="0" t="0" r="0" b="0"/>
            <wp:docPr id="71"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m 80"/>
                    <pic:cNvPicPr>
                      <a:picLocks noChangeAspect="1" noChangeArrowheads="1"/>
                    </pic:cNvPicPr>
                  </pic:nvPicPr>
                  <pic:blipFill>
                    <a:blip r:embed="rId94"/>
                    <a:stretch>
                      <a:fillRect/>
                    </a:stretch>
                  </pic:blipFill>
                  <pic:spPr bwMode="auto">
                    <a:xfrm>
                      <a:off x="0" y="0"/>
                      <a:ext cx="6762750" cy="409575"/>
                    </a:xfrm>
                    <a:prstGeom prst="rect">
                      <a:avLst/>
                    </a:prstGeom>
                    <a:noFill/>
                  </pic:spPr>
                </pic:pic>
              </a:graphicData>
            </a:graphic>
          </wp:inline>
        </w:drawing>
      </w:r>
      <w:r>
        <w:rPr>
          <w:rFonts w:eastAsia="Times New Roman" w:cs="Times New Roman" w:ascii="Times New Roman" w:hAnsi="Times New Roman"/>
          <w:sz w:val="20"/>
          <w:vertAlign w:val="superscript"/>
        </w:rPr>
        <w:t xml:space="preserv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34. RECEITAS DIVERSAS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716915"/>
            <wp:effectExtent l="0" t="0" r="0" b="0"/>
            <wp:docPr id="72"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29"/>
                    <pic:cNvPicPr>
                      <a:picLocks noChangeAspect="1" noChangeArrowheads="1"/>
                    </pic:cNvPicPr>
                  </pic:nvPicPr>
                  <pic:blipFill>
                    <a:blip r:embed="rId95"/>
                    <a:stretch>
                      <a:fillRect/>
                    </a:stretch>
                  </pic:blipFill>
                  <pic:spPr bwMode="auto">
                    <a:xfrm>
                      <a:off x="0" y="0"/>
                      <a:ext cx="6750685" cy="716915"/>
                    </a:xfrm>
                    <a:prstGeom prst="rect">
                      <a:avLst/>
                    </a:prstGeom>
                    <a:noFill/>
                  </pic:spPr>
                </pic:pic>
              </a:graphicData>
            </a:graphic>
          </wp:inline>
        </w:drawing>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(1) Reclassificação de reversão de provisões conforme relatório da Assessoria Jurídica de natureza Civil e Trabalhista não filiais FPV e FMCE.</w:t>
      </w:r>
    </w:p>
    <w:p>
      <w:pPr>
        <w:pStyle w:val="ListParagraph"/>
        <w:spacing w:lineRule="auto" w:line="240" w:before="0" w:after="0"/>
        <w:ind w:start="0"/>
        <w:contextualSpacing/>
        <w:jc w:val="both"/>
        <w:rPr>
          <w:rFonts w:ascii="Times New Roman" w:hAnsi="Times New Roman" w:cs="Times New Roman"/>
          <w:color w:themeColor="text1" w:val="000000"/>
          <w:sz w:val="16"/>
          <w:szCs w:val="24"/>
        </w:rPr>
      </w:pPr>
      <w:r>
        <w:rPr>
          <w:rFonts w:cs="Times New Roman" w:ascii="Times New Roman" w:hAnsi="Times New Roman"/>
          <w:color w:themeColor="text1" w:val="000000"/>
          <w:sz w:val="16"/>
          <w:szCs w:val="24"/>
        </w:rPr>
        <w:t>(2) Valor referente a recebimento de fornecedores na filial FJF de amostras de insumos para testes.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35. DESPESAS FINANCEIRAS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24"/>
          <w:szCs w:val="24"/>
        </w:rPr>
      </w:pPr>
      <w:r>
        <w:rPr/>
        <w:drawing>
          <wp:inline distT="0" distB="0" distL="0" distR="0">
            <wp:extent cx="6732905" cy="1257935"/>
            <wp:effectExtent l="0" t="0" r="0" b="0"/>
            <wp:docPr id="7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m 23"/>
                    <pic:cNvPicPr>
                      <a:picLocks noChangeAspect="1" noChangeArrowheads="1"/>
                    </pic:cNvPicPr>
                  </pic:nvPicPr>
                  <pic:blipFill>
                    <a:blip r:embed="rId96"/>
                    <a:stretch>
                      <a:fillRect/>
                    </a:stretch>
                  </pic:blipFill>
                  <pic:spPr bwMode="auto">
                    <a:xfrm>
                      <a:off x="0" y="0"/>
                      <a:ext cx="6732905" cy="1257935"/>
                    </a:xfrm>
                    <a:prstGeom prst="rect">
                      <a:avLst/>
                    </a:prstGeom>
                    <a:noFill/>
                  </pic:spPr>
                </pic:pic>
              </a:graphicData>
            </a:graphic>
          </wp:inline>
        </w:drawing>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(1) Valor referente a apropriação dos juros referente as 14 parcelas do parcelamento simplificado não previdenciário nº 02110001200151958242288, requerido pela empresa na data de 28/04/2022, no montante de R$ 3.975.mil, em 60 meses com parcela de R$ 66 mil, referente a créditos tributários não reconhecidos pela Receita Federal solicitados via PERDCOMP entre os anos 2008 a 2009 e quitado e encerrado no 1º TRIM 2026. </w:t>
      </w:r>
    </w:p>
    <w:p>
      <w:pPr>
        <w:pStyle w:val="ListParagraph"/>
        <w:spacing w:lineRule="auto" w:line="240" w:before="0" w:after="0"/>
        <w:ind w:start="0"/>
        <w:contextualSpacing/>
        <w:jc w:val="both"/>
        <w:rPr>
          <w:rFonts w:ascii="Times New Roman" w:hAnsi="Times New Roman" w:cs="Times New Roman"/>
          <w:b/>
          <w:bCs/>
          <w:sz w:val="16"/>
          <w:szCs w:val="16"/>
        </w:rPr>
      </w:pPr>
      <w:r>
        <w:rPr>
          <w:rFonts w:cs="Times New Roman" w:ascii="Times New Roman" w:hAnsi="Times New Roman"/>
          <w:sz w:val="16"/>
          <w:szCs w:val="24"/>
        </w:rPr>
        <w:t xml:space="preserve">(2) </w:t>
      </w:r>
      <w:r>
        <w:rPr>
          <w:rFonts w:cs="Times New Roman" w:ascii="Times New Roman" w:hAnsi="Times New Roman"/>
          <w:sz w:val="16"/>
        </w:rPr>
        <w:t xml:space="preserve">Conforme Mensagem SIAFI </w:t>
      </w:r>
      <w:r>
        <w:rPr>
          <w:rFonts w:cs="Times New Roman" w:ascii="Times New Roman" w:hAnsi="Times New Roman"/>
          <w:b/>
          <w:bCs/>
          <w:sz w:val="16"/>
          <w:szCs w:val="16"/>
        </w:rPr>
        <w:t xml:space="preserve">2025/3727183 De 170500 - COORDENACAO-GERAL DE TESOURARIA – CGTES/STN em 28/07/2025 </w:t>
      </w:r>
      <w:r>
        <w:rPr>
          <w:rFonts w:cs="Times New Roman" w:ascii="Times New Roman" w:hAnsi="Times New Roman"/>
          <w:sz w:val="16"/>
          <w:szCs w:val="16"/>
        </w:rPr>
        <w:t xml:space="preserve">a Procuradoria-Geral da Fazenda Nacional - PGFN emitiu um Parecer SEI Nº 1563/2025/MF no qual registrou o entendimento de que </w:t>
      </w:r>
      <w:r>
        <w:rPr>
          <w:rFonts w:cs="Times New Roman" w:ascii="Times New Roman" w:hAnsi="Times New Roman"/>
          <w:b/>
          <w:bCs/>
          <w:sz w:val="16"/>
          <w:szCs w:val="16"/>
        </w:rPr>
        <w:t xml:space="preserve">não deve haver incidência da DRU, nos termos do art. 76 do ADCT, com a redação dada pela EC nº 135/2024, sobre receitas patrimoniais auferidas pelas empresas públicas dependentes e que os valores recolhidos no período </w:t>
      </w:r>
      <w:r>
        <w:rPr>
          <w:rFonts w:cs="Arial" w:ascii="Arial" w:hAnsi="Arial"/>
          <w:sz w:val="15"/>
          <w:szCs w:val="15"/>
        </w:rPr>
        <w:t>a título de DRU pelas estatais dependentes, na vigência da EC nº 135/2024, foram devolvidos.</w:t>
      </w:r>
    </w:p>
    <w:p>
      <w:pPr>
        <w:pStyle w:val="textoalinhadoesquerdaespacamentosimples"/>
        <w:spacing w:beforeAutospacing="0" w:before="0" w:afterAutospacing="0" w:after="0"/>
        <w:ind w:end="-1"/>
        <w:jc w:val="both"/>
        <w:rPr>
          <w:sz w:val="16"/>
        </w:rPr>
      </w:pPr>
      <w:r>
        <w:rPr>
          <w:sz w:val="16"/>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36. RECEITAS FINANCEIRAS</w:t>
      </w:r>
    </w:p>
    <w:p>
      <w:pPr>
        <w:pStyle w:val="ListParagraph"/>
        <w:spacing w:lineRule="auto" w:line="240" w:before="0" w:after="0"/>
        <w:ind w:start="0"/>
        <w:contextualSpacing/>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 xml:space="preserve">     </w:t>
      </w:r>
      <w:r>
        <w:rPr>
          <w:rFonts w:cs="Times New Roman" w:ascii="Times New Roman" w:hAnsi="Times New Roman"/>
          <w:b/>
          <w:szCs w:val="24"/>
        </w:rPr>
        <w:t xml:space="preserve">R$ mil </w:t>
      </w:r>
      <w:r>
        <w:rPr/>
        <w:drawing>
          <wp:inline distT="0" distB="0" distL="0" distR="0">
            <wp:extent cx="6838950" cy="1257300"/>
            <wp:effectExtent l="0" t="0" r="0" b="0"/>
            <wp:docPr id="7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m 84"/>
                    <pic:cNvPicPr>
                      <a:picLocks noChangeAspect="1" noChangeArrowheads="1"/>
                    </pic:cNvPicPr>
                  </pic:nvPicPr>
                  <pic:blipFill>
                    <a:blip r:embed="rId97"/>
                    <a:stretch>
                      <a:fillRect/>
                    </a:stretch>
                  </pic:blipFill>
                  <pic:spPr bwMode="auto">
                    <a:xfrm>
                      <a:off x="0" y="0"/>
                      <a:ext cx="6838950" cy="1257300"/>
                    </a:xfrm>
                    <a:prstGeom prst="rect">
                      <a:avLst/>
                    </a:prstGeom>
                    <a:noFill/>
                  </pic:spPr>
                </pic:pic>
              </a:graphicData>
            </a:graphic>
          </wp:inline>
        </w:drawing>
      </w:r>
      <w:r>
        <w:rPr>
          <w:rFonts w:cs="Times New Roman" w:ascii="Times New Roman" w:hAnsi="Times New Roman"/>
          <w:sz w:val="16"/>
          <w:szCs w:val="24"/>
        </w:rPr>
        <w:t xml:space="preserve"> (1) As aplicações de recursos de empresas públicas e sociedades de economia mista da Administração Federal Indireta se dão por meio de fundos extramercado, conforme previsto na Resolução CMN nº 3.284 de 2005. Este fundo tem a política de investimento atrelada a um dos índices da ANBIMA (Associação Brasileira das Entidades do Mercado Financeiro e de Capitais). No caso da IMBEL</w:t>
      </w:r>
      <w:r>
        <w:rPr>
          <w:rFonts w:cs="Times New Roman" w:ascii="Times New Roman" w:hAnsi="Times New Roman"/>
          <w:sz w:val="16"/>
          <w:szCs w:val="24"/>
          <w:vertAlign w:val="superscript"/>
        </w:rPr>
        <w:t>®</w:t>
      </w:r>
      <w:r>
        <w:rPr>
          <w:rFonts w:cs="Times New Roman" w:ascii="Times New Roman" w:hAnsi="Times New Roman"/>
          <w:sz w:val="16"/>
          <w:szCs w:val="24"/>
        </w:rPr>
        <w:t xml:space="preserve">, o fundo extramercado está vinculado ao índice IFR- M 1 que representa a evolução, a preços de mercado, da carteira de títulos públicos prefixados (LTN) com prazos inferiores a um ano.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 xml:space="preserve">(2) O valor registrado na rubrica de Multas s/ Recebimentos refere-se: a multa aplicada aos clientes da Empresa, por descumprimento de cláusula contratual;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37. OUTRAS DESPESAS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eastAsia="Times New Roman" w:cs="Times New Roman"/>
          <w:color w:val="FF0000"/>
          <w:sz w:val="20"/>
          <w:vertAlign w:val="superscript"/>
        </w:rPr>
      </w:pPr>
      <w:bookmarkStart w:id="1" w:name="_MON_1694266136"/>
      <w:bookmarkEnd w:id="1"/>
      <w:r>
        <w:rPr/>
        <w:drawing>
          <wp:inline distT="0" distB="0" distL="0" distR="0">
            <wp:extent cx="6684010" cy="714375"/>
            <wp:effectExtent l="0" t="0" r="0" b="0"/>
            <wp:docPr id="75"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30"/>
                    <pic:cNvPicPr>
                      <a:picLocks noChangeAspect="1" noChangeArrowheads="1"/>
                    </pic:cNvPicPr>
                  </pic:nvPicPr>
                  <pic:blipFill>
                    <a:blip r:embed="rId98"/>
                    <a:stretch>
                      <a:fillRect/>
                    </a:stretch>
                  </pic:blipFill>
                  <pic:spPr bwMode="auto">
                    <a:xfrm>
                      <a:off x="0" y="0"/>
                      <a:ext cx="6684010" cy="714375"/>
                    </a:xfrm>
                    <a:prstGeom prst="rect">
                      <a:avLst/>
                    </a:prstGeom>
                    <a:noFill/>
                  </pic:spPr>
                </pic:pic>
              </a:graphicData>
            </a:graphic>
          </wp:inline>
        </w:drawing>
      </w:r>
      <w:r>
        <w:rPr>
          <w:rFonts w:eastAsia="Times New Roman" w:cs="Times New Roman" w:ascii="Times New Roman" w:hAnsi="Times New Roman"/>
          <w:color w:val="FF0000"/>
          <w:sz w:val="20"/>
          <w:vertAlign w:val="superscript"/>
        </w:rPr>
        <w:t xml:space="preserve"> </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(1) Refere-se a baixa da diferença do bem que foi devolvida para o fornecedor referente a Ordem Serviço 416006, cujo bem foi implantado a maior na filial FI.</w:t>
      </w:r>
    </w:p>
    <w:p>
      <w:pPr>
        <w:pStyle w:val="ListParagraph"/>
        <w:spacing w:lineRule="auto" w:line="240" w:before="0" w:after="0"/>
        <w:ind w:start="0"/>
        <w:contextualSpacing/>
        <w:jc w:val="both"/>
        <w:rPr>
          <w:rFonts w:ascii="Times New Roman" w:hAnsi="Times New Roman" w:cs="Times New Roman"/>
          <w:sz w:val="16"/>
          <w:szCs w:val="24"/>
        </w:rPr>
      </w:pPr>
      <w:r>
        <w:rPr>
          <w:rFonts w:cs="Times New Roman" w:ascii="Times New Roman" w:hAnsi="Times New Roman"/>
          <w:sz w:val="16"/>
          <w:szCs w:val="24"/>
        </w:rPr>
        <w:t>(2) Pagamentos de taxas da vigilância sanitária para regularização ambiental na FE e despesas de diversas na Sede.</w:t>
      </w:r>
    </w:p>
    <w:p>
      <w:pPr>
        <w:pStyle w:val="Normal"/>
        <w:spacing w:lineRule="auto" w:line="240" w:before="0" w:after="0"/>
        <w:jc w:val="both"/>
        <w:rPr>
          <w:rFonts w:ascii="Times New Roman" w:hAnsi="Times New Roman" w:eastAsia="Times New Roman" w:cs="Times New Roman"/>
          <w:sz w:val="20"/>
          <w:vertAlign w:val="superscript"/>
        </w:rPr>
      </w:pPr>
      <w:r>
        <w:rPr>
          <w:rFonts w:eastAsia="Times New Roman" w:cs="Times New Roman" w:ascii="Times New Roman" w:hAnsi="Times New Roman"/>
          <w:sz w:val="20"/>
          <w:vertAlign w:val="superscript"/>
        </w:rPr>
        <w:t xml:space="preserv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38. OUTRAS RECEITAS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eastAsia="Times New Roman" w:cs="Times New Roman"/>
          <w:vertAlign w:val="superscript"/>
        </w:rPr>
      </w:pPr>
      <w:r>
        <w:rPr/>
        <w:drawing>
          <wp:inline distT="0" distB="0" distL="0" distR="0">
            <wp:extent cx="6750685" cy="1404620"/>
            <wp:effectExtent l="0" t="0" r="0" b="0"/>
            <wp:docPr id="76"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31"/>
                    <pic:cNvPicPr>
                      <a:picLocks noChangeAspect="1" noChangeArrowheads="1"/>
                    </pic:cNvPicPr>
                  </pic:nvPicPr>
                  <pic:blipFill>
                    <a:blip r:embed="rId99"/>
                    <a:stretch>
                      <a:fillRect/>
                    </a:stretch>
                  </pic:blipFill>
                  <pic:spPr bwMode="auto">
                    <a:xfrm>
                      <a:off x="0" y="0"/>
                      <a:ext cx="6750685" cy="140462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Valor referente ao recebimento de GRU de IPTU das unidades residenciais pagas pelos inquilinos na filial FPV.</w:t>
      </w:r>
    </w:p>
    <w:p>
      <w:pPr>
        <w:pStyle w:val="Normal"/>
        <w:tabs>
          <w:tab w:val="clear" w:pos="907"/>
          <w:tab w:val="left" w:pos="8175" w:leader="none"/>
        </w:tabs>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Valor referente ao recebimento de alugueis das unidades residências das filiais, locadas a militares da ativa e empregados de carreira existentes nas filiais FPV, FJF, FI e FE.</w:t>
      </w:r>
    </w:p>
    <w:p>
      <w:pPr>
        <w:pStyle w:val="Normal"/>
        <w:tabs>
          <w:tab w:val="clear" w:pos="907"/>
          <w:tab w:val="left" w:pos="8175" w:leader="none"/>
        </w:tabs>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(3) O valor refere-se à atualização do recebimento de restituição de IRPJ referente aos exercícios de 2019 e 2020 homologados pela Receita Federal do Brasil no 1º TRIM 2026.</w:t>
      </w:r>
    </w:p>
    <w:p>
      <w:pPr>
        <w:pStyle w:val="Normal"/>
        <w:tabs>
          <w:tab w:val="clear" w:pos="907"/>
          <w:tab w:val="left" w:pos="8175" w:leader="none"/>
        </w:tabs>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(4) Valor referente ao lançamento de atualização de depósitos recursais devolvidos a empresa nas filiais FPV e FI.</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39. RECEITA ORÇAMENTÁRIA</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39.1. Subvenção Governamental</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77355" cy="1000125"/>
            <wp:effectExtent l="0" t="0" r="0" b="0"/>
            <wp:docPr id="77"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m 31"/>
                    <pic:cNvPicPr>
                      <a:picLocks noChangeAspect="1" noChangeArrowheads="1"/>
                    </pic:cNvPicPr>
                  </pic:nvPicPr>
                  <pic:blipFill>
                    <a:blip r:embed="rId100"/>
                    <a:stretch>
                      <a:fillRect/>
                    </a:stretch>
                  </pic:blipFill>
                  <pic:spPr bwMode="auto">
                    <a:xfrm>
                      <a:off x="0" y="0"/>
                      <a:ext cx="6777355" cy="1000125"/>
                    </a:xfrm>
                    <a:prstGeom prst="rect">
                      <a:avLst/>
                    </a:prstGeom>
                    <a:noFill/>
                  </pic:spPr>
                </pic:pic>
              </a:graphicData>
            </a:graphic>
          </wp:inline>
        </w:drawing>
      </w:r>
      <w:r>
        <w:rPr>
          <w:rFonts w:eastAsia="Times New Roman" w:cs="Times New Roman" w:ascii="Times New Roman" w:hAnsi="Times New Roman"/>
          <w:sz w:val="20"/>
          <w:vertAlign w:val="superscript"/>
        </w:rPr>
        <w:t xml:space="preserve"> </w:t>
      </w:r>
      <w:r>
        <w:rPr>
          <w:rFonts w:cs="Times New Roman" w:ascii="Times New Roman" w:hAnsi="Times New Roman"/>
          <w:sz w:val="16"/>
          <w:szCs w:val="24"/>
        </w:rPr>
        <w:t>(1) Lançamento de reclassificação contábil em janeiro de 2025 referentes às emendas parlamentares de dezembro de 2024.</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39.2. Subvenções Gov. Emendas Parlamentares</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66560" cy="675640"/>
            <wp:effectExtent l="0" t="0" r="0" b="0"/>
            <wp:docPr id="78"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m 33"/>
                    <pic:cNvPicPr>
                      <a:picLocks noChangeAspect="1" noChangeArrowheads="1"/>
                    </pic:cNvPicPr>
                  </pic:nvPicPr>
                  <pic:blipFill>
                    <a:blip r:embed="rId101"/>
                    <a:stretch>
                      <a:fillRect/>
                    </a:stretch>
                  </pic:blipFill>
                  <pic:spPr bwMode="auto">
                    <a:xfrm>
                      <a:off x="0" y="0"/>
                      <a:ext cx="6766560" cy="67564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Valores de emendas destinadas à IMBEL executadas.</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39.2.1. Subvenção Emenda Parlamentar por Filial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3101340"/>
            <wp:effectExtent l="0" t="0" r="0" b="0"/>
            <wp:docPr id="79"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32"/>
                    <pic:cNvPicPr>
                      <a:picLocks noChangeAspect="1" noChangeArrowheads="1"/>
                    </pic:cNvPicPr>
                  </pic:nvPicPr>
                  <pic:blipFill>
                    <a:blip r:embed="rId102"/>
                    <a:stretch>
                      <a:fillRect/>
                    </a:stretch>
                  </pic:blipFill>
                  <pic:spPr bwMode="auto">
                    <a:xfrm>
                      <a:off x="0" y="0"/>
                      <a:ext cx="6750685" cy="3101340"/>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40. IMPOSTO DE RENDA E CONTRIBUIÇÃO SOCIAL</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40.1. Demonstração da Despesa de IR e CSLL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46240" cy="1076325"/>
            <wp:effectExtent l="0" t="0" r="0" b="0"/>
            <wp:docPr id="80"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33"/>
                    <pic:cNvPicPr>
                      <a:picLocks noChangeAspect="1" noChangeArrowheads="1"/>
                    </pic:cNvPicPr>
                  </pic:nvPicPr>
                  <pic:blipFill>
                    <a:blip r:embed="rId103"/>
                    <a:stretch>
                      <a:fillRect/>
                    </a:stretch>
                  </pic:blipFill>
                  <pic:spPr bwMode="auto">
                    <a:xfrm>
                      <a:off x="0" y="0"/>
                      <a:ext cx="6746240" cy="107632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40.2. Conciliação dos encargos com IR e CSLL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050" cy="1257300"/>
            <wp:effectExtent l="0" t="0" r="0" b="0"/>
            <wp:docPr id="81"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34"/>
                    <pic:cNvPicPr>
                      <a:picLocks noChangeAspect="1" noChangeArrowheads="1"/>
                    </pic:cNvPicPr>
                  </pic:nvPicPr>
                  <pic:blipFill>
                    <a:blip r:embed="rId104"/>
                    <a:stretch>
                      <a:fillRect/>
                    </a:stretch>
                  </pic:blipFill>
                  <pic:spPr bwMode="auto">
                    <a:xfrm>
                      <a:off x="0" y="0"/>
                      <a:ext cx="6750050" cy="12573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41. REMUNERAÇÃO DOS DIRIGENTES, EMPREGADOS E BENEFÍCIOS.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As remunerações dos empregados e administradores da Empresa no mês de março de 2026</w:t>
      </w:r>
      <w:r>
        <w:rPr>
          <w:rFonts w:cs="Times New Roman" w:ascii="Times New Roman" w:hAnsi="Times New Roman"/>
          <w:color w:val="EE0000"/>
          <w:sz w:val="24"/>
          <w:szCs w:val="24"/>
        </w:rPr>
        <w:t xml:space="preserve"> </w:t>
      </w:r>
      <w:r>
        <w:rPr>
          <w:rFonts w:cs="Times New Roman" w:ascii="Times New Roman" w:hAnsi="Times New Roman"/>
          <w:sz w:val="24"/>
          <w:szCs w:val="24"/>
        </w:rPr>
        <w:t>estão discriminadas a seguir:</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41.1. Maior e menor remuneração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color w:val="FF0000"/>
          <w:sz w:val="24"/>
          <w:szCs w:val="24"/>
        </w:rPr>
      </w:pPr>
      <w:r>
        <w:rPr/>
        <w:drawing>
          <wp:inline distT="0" distB="0" distL="0" distR="0">
            <wp:extent cx="6751955" cy="2260600"/>
            <wp:effectExtent l="0" t="0" r="0" b="0"/>
            <wp:docPr id="82"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35"/>
                    <pic:cNvPicPr>
                      <a:picLocks noChangeAspect="1" noChangeArrowheads="1"/>
                    </pic:cNvPicPr>
                  </pic:nvPicPr>
                  <pic:blipFill>
                    <a:blip r:embed="rId105"/>
                    <a:stretch>
                      <a:fillRect/>
                    </a:stretch>
                  </pic:blipFill>
                  <pic:spPr bwMode="auto">
                    <a:xfrm>
                      <a:off x="0" y="0"/>
                      <a:ext cx="6751955" cy="226060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color w:val="FF0000"/>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41.2. Salários médios </w:t>
      </w:r>
    </w:p>
    <w:p>
      <w:pPr>
        <w:pStyle w:val="Normal"/>
        <w:spacing w:lineRule="auto" w:line="240" w:before="0" w:after="0"/>
        <w:jc w:val="both"/>
        <w:rPr>
          <w:rFonts w:ascii="Times New Roman" w:hAnsi="Times New Roman" w:cs="Times New Roman"/>
          <w:b/>
          <w:szCs w:val="24"/>
        </w:rPr>
      </w:pPr>
      <w:r>
        <w:rPr>
          <w:rFonts w:cs="Times New Roman" w:ascii="Times New Roman" w:hAnsi="Times New Roman"/>
          <w:b/>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24650" cy="629285"/>
            <wp:effectExtent l="0" t="0" r="0" b="0"/>
            <wp:docPr id="83"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36"/>
                    <pic:cNvPicPr>
                      <a:picLocks noChangeAspect="1" noChangeArrowheads="1"/>
                    </pic:cNvPicPr>
                  </pic:nvPicPr>
                  <pic:blipFill>
                    <a:blip r:embed="rId106"/>
                    <a:stretch>
                      <a:fillRect/>
                    </a:stretch>
                  </pic:blipFill>
                  <pic:spPr bwMode="auto">
                    <a:xfrm>
                      <a:off x="0" y="0"/>
                      <a:ext cx="6724650" cy="62928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41.3. Quantidade de funcionários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16"/>
          <w:szCs w:val="24"/>
        </w:rPr>
      </w:pPr>
      <w:r>
        <w:rPr/>
        <w:drawing>
          <wp:inline distT="0" distB="0" distL="0" distR="0">
            <wp:extent cx="6730365" cy="958215"/>
            <wp:effectExtent l="0" t="0" r="0" b="0"/>
            <wp:docPr id="84"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37"/>
                    <pic:cNvPicPr>
                      <a:picLocks noChangeAspect="1" noChangeArrowheads="1"/>
                    </pic:cNvPicPr>
                  </pic:nvPicPr>
                  <pic:blipFill>
                    <a:blip r:embed="rId107"/>
                    <a:stretch>
                      <a:fillRect/>
                    </a:stretch>
                  </pic:blipFill>
                  <pic:spPr bwMode="auto">
                    <a:xfrm>
                      <a:off x="0" y="0"/>
                      <a:ext cx="6730365" cy="958215"/>
                    </a:xfrm>
                    <a:prstGeom prst="rect">
                      <a:avLst/>
                    </a:prstGeom>
                    <a:noFill/>
                  </pic:spPr>
                </pic:pic>
              </a:graphicData>
            </a:graphic>
          </wp:inline>
        </w:drawing>
      </w:r>
      <w:r>
        <w:rPr>
          <w:rFonts w:cs="Times New Roman" w:ascii="Times New Roman" w:hAnsi="Times New Roman"/>
          <w:sz w:val="16"/>
          <w:szCs w:val="24"/>
        </w:rPr>
        <w:t xml:space="preserve">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(1) Dos contratados no período 67% são da área administrativa e 33% área produtiva.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(2) Dos demitidos no período 87% são da área administrativa e 12% área produtiva.</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 xml:space="preserve">41.4. Quantidade de funcionários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30365" cy="1960245"/>
            <wp:effectExtent l="0" t="0" r="0" b="0"/>
            <wp:docPr id="85"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38"/>
                    <pic:cNvPicPr>
                      <a:picLocks noChangeAspect="1" noChangeArrowheads="1"/>
                    </pic:cNvPicPr>
                  </pic:nvPicPr>
                  <pic:blipFill>
                    <a:blip r:embed="rId108"/>
                    <a:stretch>
                      <a:fillRect/>
                    </a:stretch>
                  </pic:blipFill>
                  <pic:spPr bwMode="auto">
                    <a:xfrm>
                      <a:off x="0" y="0"/>
                      <a:ext cx="6730365" cy="1960245"/>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41.5. Valor investido em treinamento de pessoal</w:t>
      </w:r>
    </w:p>
    <w:p>
      <w:pPr>
        <w:pStyle w:val="Normal"/>
        <w:spacing w:lineRule="auto" w:line="240" w:before="0" w:after="0"/>
        <w:jc w:val="both"/>
        <w:rPr>
          <w:rFonts w:ascii="Times New Roman" w:hAnsi="Times New Roman" w:cs="Times New Roman"/>
          <w:b/>
          <w:sz w:val="20"/>
          <w:szCs w:val="24"/>
        </w:rPr>
      </w:pPr>
      <w:r>
        <w:rPr>
          <w:rFonts w:cs="Times New Roman" w:ascii="Times New Roman" w:hAnsi="Times New Roman"/>
          <w:b/>
          <w:sz w:val="20"/>
          <w:szCs w:val="24"/>
        </w:rPr>
        <w:t xml:space="preserve">                                                                                                                                                                                                             </w:t>
      </w:r>
      <w:r>
        <w:rPr>
          <w:rFonts w:cs="Times New Roman" w:ascii="Times New Roman" w:hAnsi="Times New Roman"/>
          <w:b/>
          <w:szCs w:val="24"/>
        </w:rPr>
        <w:t>R$</w:t>
      </w:r>
    </w:p>
    <w:p>
      <w:pPr>
        <w:pStyle w:val="Normal"/>
        <w:spacing w:lineRule="auto" w:line="240" w:before="0" w:after="0"/>
        <w:jc w:val="both"/>
        <w:rPr>
          <w:rFonts w:ascii="Times New Roman" w:hAnsi="Times New Roman" w:cs="Times New Roman"/>
          <w:sz w:val="16"/>
          <w:szCs w:val="24"/>
        </w:rPr>
      </w:pPr>
      <w:r>
        <w:rPr/>
        <w:drawing>
          <wp:inline distT="0" distB="0" distL="0" distR="0">
            <wp:extent cx="6677025" cy="419100"/>
            <wp:effectExtent l="0" t="0" r="0" b="0"/>
            <wp:docPr id="86"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39"/>
                    <pic:cNvPicPr>
                      <a:picLocks noChangeAspect="1" noChangeArrowheads="1"/>
                    </pic:cNvPicPr>
                  </pic:nvPicPr>
                  <pic:blipFill>
                    <a:blip r:embed="rId109"/>
                    <a:stretch>
                      <a:fillRect/>
                    </a:stretch>
                  </pic:blipFill>
                  <pic:spPr bwMode="auto">
                    <a:xfrm>
                      <a:off x="0" y="0"/>
                      <a:ext cx="6677025" cy="419100"/>
                    </a:xfrm>
                    <a:prstGeom prst="rect">
                      <a:avLst/>
                    </a:prstGeom>
                    <a:noFill/>
                  </pic:spPr>
                </pic:pic>
              </a:graphicData>
            </a:graphic>
          </wp:inline>
        </w:drawing>
      </w:r>
      <w:r>
        <w:rPr>
          <w:rFonts w:eastAsia="Times New Roman" w:cs="Times New Roman" w:ascii="Times New Roman" w:hAnsi="Times New Roman"/>
          <w:vertAlign w:val="superscript"/>
        </w:rPr>
        <w:t xml:space="preserve"> </w:t>
      </w:r>
      <w:r>
        <w:rPr>
          <w:rFonts w:eastAsia="Times New Roman" w:cs="Times New Roman" w:ascii="Times New Roman" w:hAnsi="Times New Roman"/>
          <w:sz w:val="16"/>
          <w:szCs w:val="16"/>
        </w:rPr>
        <w:t>(1)</w:t>
      </w:r>
      <w:r>
        <w:rPr>
          <w:rFonts w:eastAsia="Times New Roman" w:cs="Times New Roman" w:ascii="Times New Roman" w:hAnsi="Times New Roman"/>
        </w:rPr>
        <w:t xml:space="preserve"> </w:t>
      </w:r>
      <w:r>
        <w:rPr>
          <w:rFonts w:cs="Times New Roman" w:ascii="Times New Roman" w:hAnsi="Times New Roman"/>
          <w:sz w:val="16"/>
          <w:szCs w:val="24"/>
        </w:rPr>
        <w:t>Foram gastos com treinamentos obrigatórios na área produtiva e administrativa assim distribuída: na FPV o valor de R$ 600,00, Na FJF o valor de R$ 4.800,00, na FMCE o valor de R$ 18.090,00, na FE R$ 24.877,50 e na SEDE o valor de R$ 17.300,00.</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41.6. Valor global de salários e benefícios</w:t>
      </w:r>
    </w:p>
    <w:p>
      <w:pPr>
        <w:pStyle w:val="Normal"/>
        <w:spacing w:lineRule="auto" w:line="240" w:before="0" w:after="0"/>
        <w:jc w:val="both"/>
        <w:rPr>
          <w:rFonts w:ascii="Times New Roman" w:hAnsi="Times New Roman" w:cs="Times New Roman"/>
          <w:b/>
          <w:sz w:val="18"/>
          <w:szCs w:val="24"/>
        </w:rPr>
      </w:pPr>
      <w:r>
        <w:rPr>
          <w:rFonts w:cs="Times New Roman" w:ascii="Times New Roman" w:hAnsi="Times New Roman"/>
          <w:b/>
          <w:sz w:val="18"/>
          <w:szCs w:val="24"/>
        </w:rPr>
        <w:t xml:space="preserve">                                                                                                                                                                                                                                      </w:t>
      </w:r>
      <w:r>
        <w:rPr>
          <w:rFonts w:cs="Times New Roman" w:ascii="Times New Roman" w:hAnsi="Times New Roman"/>
          <w:b/>
          <w:szCs w:val="24"/>
        </w:rPr>
        <w:t>R$</w:t>
      </w:r>
    </w:p>
    <w:p>
      <w:pPr>
        <w:pStyle w:val="Normal"/>
        <w:spacing w:lineRule="auto" w:line="240" w:before="0" w:after="0"/>
        <w:jc w:val="both"/>
        <w:rPr>
          <w:rFonts w:ascii="Times New Roman" w:hAnsi="Times New Roman" w:cs="Times New Roman"/>
          <w:sz w:val="16"/>
          <w:szCs w:val="24"/>
        </w:rPr>
      </w:pPr>
      <w:r>
        <w:rPr/>
        <w:drawing>
          <wp:inline distT="0" distB="0" distL="0" distR="0">
            <wp:extent cx="6750685" cy="1566545"/>
            <wp:effectExtent l="0" t="0" r="0" b="0"/>
            <wp:docPr id="87"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40"/>
                    <pic:cNvPicPr>
                      <a:picLocks noChangeAspect="1" noChangeArrowheads="1"/>
                    </pic:cNvPicPr>
                  </pic:nvPicPr>
                  <pic:blipFill>
                    <a:blip r:embed="rId110"/>
                    <a:stretch>
                      <a:fillRect/>
                    </a:stretch>
                  </pic:blipFill>
                  <pic:spPr bwMode="auto">
                    <a:xfrm>
                      <a:off x="0" y="0"/>
                      <a:ext cx="6750685" cy="156654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 xml:space="preserve"> </w:t>
      </w:r>
      <w:r>
        <w:rPr>
          <w:rFonts w:cs="Times New Roman" w:ascii="Times New Roman" w:hAnsi="Times New Roman"/>
          <w:sz w:val="16"/>
          <w:szCs w:val="24"/>
        </w:rPr>
        <w:t xml:space="preserve">(1) a variação refere-se à nivelação de valores e reajustes de contratos de planos de saúde conforme data base e mudança de faixa etária de cada contrato dos beneficiários de reembolso.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refere-se à variação no aumento do auxílio alimentação, reajuste aprovado pelo acordo coletivo 2024/2026, de R$656,00 para o valor R$795,00 (no primeiro ano acordo coletivo 2024/2025) e de R$795,00 para o valor R$1.000,00 (segundo ano do acordo coletivo 2025/2026) e valores pagos de café da manhã nas filiais após decisão judicial;</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(3) referem-se às despesas de variação no aumento do auxílio creche, reajuste aprovado pelo acordo coletivo 2024/2026, de R$322,09 para o valor de R$ 480,00 (no primeiro ano acordo coletivo 2024/2025) e de R$480,00 para o valor R$504,96</w:t>
      </w:r>
      <w:r>
        <w:rPr>
          <w:rFonts w:cs="Times New Roman" w:ascii="Times New Roman" w:hAnsi="Times New Roman"/>
          <w:color w:val="FF0000"/>
          <w:sz w:val="16"/>
          <w:szCs w:val="24"/>
        </w:rPr>
        <w:t xml:space="preserve"> </w:t>
      </w:r>
      <w:r>
        <w:rPr>
          <w:rFonts w:cs="Times New Roman" w:ascii="Times New Roman" w:hAnsi="Times New Roman"/>
          <w:sz w:val="16"/>
          <w:szCs w:val="24"/>
        </w:rPr>
        <w:t>(segundo ano do acordo coletivo 2025/2026) e aumento da taxa de natalidade e/ou solicitações do benefício não solicitado anteriormente.</w:t>
      </w:r>
    </w:p>
    <w:p>
      <w:pPr>
        <w:pStyle w:val="Normal"/>
        <w:spacing w:lineRule="auto" w:line="240" w:before="0" w:after="0"/>
        <w:jc w:val="both"/>
        <w:rPr>
          <w:rFonts w:ascii="Times New Roman" w:hAnsi="Times New Roman" w:cs="Times New Roman"/>
          <w:b/>
          <w:sz w:val="16"/>
          <w:szCs w:val="24"/>
        </w:rPr>
      </w:pPr>
      <w:r>
        <w:rPr>
          <w:rFonts w:cs="Times New Roman" w:ascii="Times New Roman" w:hAnsi="Times New Roman"/>
          <w:sz w:val="16"/>
          <w:szCs w:val="24"/>
        </w:rPr>
        <w:t>(4) refere-se à implementação do pagamento do benefício combustível na empresa e o aumento da despesa se deve a adesão de funcionários que não faziam uso da modalidade auxílio transporte/combustível, passaram a fazer uso do benefício</w:t>
      </w:r>
      <w:r>
        <w:rPr>
          <w:rFonts w:cs="Times New Roman" w:ascii="Times New Roman" w:hAnsi="Times New Roman"/>
          <w:b/>
          <w:sz w:val="16"/>
          <w:szCs w:val="24"/>
        </w:rPr>
        <w:t>;</w:t>
      </w:r>
    </w:p>
    <w:p>
      <w:pPr>
        <w:pStyle w:val="Normal"/>
        <w:spacing w:lineRule="auto" w:line="240" w:before="0" w:after="0"/>
        <w:jc w:val="both"/>
        <w:rPr>
          <w:rFonts w:ascii="Times New Roman" w:hAnsi="Times New Roman" w:cs="Times New Roman"/>
          <w:color w:val="FF0000"/>
          <w:sz w:val="16"/>
          <w:szCs w:val="24"/>
        </w:rPr>
      </w:pPr>
      <w:r>
        <w:rPr>
          <w:rFonts w:cs="Times New Roman" w:ascii="Times New Roman" w:hAnsi="Times New Roman"/>
          <w:sz w:val="16"/>
          <w:szCs w:val="24"/>
        </w:rPr>
        <w:t>(5) refere-se a pagamento de auxílio funeral para os beneficiários em decorrência de falecimento de 1 (um) funcionário neste período na SEDE.</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(6) refere-se ao pagamento de seguro de grupo de funcionários por decisão judicial.</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42. PARTES RELACIONADAS</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42.1.</w:t>
      </w:r>
      <w:r>
        <w:rPr>
          <w:rFonts w:cs="Times New Roman" w:ascii="Times New Roman" w:hAnsi="Times New Roman"/>
          <w:sz w:val="24"/>
          <w:szCs w:val="24"/>
        </w:rPr>
        <w:t xml:space="preserve"> A definição na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aplica-se ao seu órgão controlador, a UNIÃO, empresas coligadas ou parceiras e a todos os demais colaboradores da IMBEL</w:t>
      </w:r>
      <w:r>
        <w:rPr>
          <w:rFonts w:cs="Times New Roman" w:ascii="Times New Roman" w:hAnsi="Times New Roman"/>
          <w:sz w:val="24"/>
          <w:szCs w:val="24"/>
          <w:vertAlign w:val="superscript"/>
        </w:rPr>
        <w:t>®</w:t>
      </w:r>
      <w:r>
        <w:rPr>
          <w:rFonts w:cs="Times New Roman" w:ascii="Times New Roman" w:hAnsi="Times New Roman"/>
          <w:sz w:val="24"/>
          <w:szCs w:val="24"/>
        </w:rPr>
        <w:t>, com ênfase naqueles que possuem poderes delegados de decisão, tais como conselheiros, diretores, chefes, gerentes, membros de comitês, colegiados e comissões.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color w:val="FF0000"/>
          <w:sz w:val="24"/>
          <w:szCs w:val="24"/>
        </w:rPr>
      </w:pPr>
      <w:r>
        <w:rPr>
          <w:rFonts w:cs="Times New Roman" w:ascii="Times New Roman" w:hAnsi="Times New Roman"/>
          <w:b/>
          <w:sz w:val="24"/>
          <w:szCs w:val="24"/>
        </w:rPr>
        <w:t>42.2.</w:t>
      </w:r>
      <w:r>
        <w:rPr>
          <w:rFonts w:cs="Times New Roman" w:ascii="Times New Roman" w:hAnsi="Times New Roman"/>
          <w:sz w:val="24"/>
          <w:szCs w:val="24"/>
        </w:rPr>
        <w:t xml:space="preserve">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b/>
          <w:szCs w:val="24"/>
        </w:rPr>
        <w:t>R$ mil</w:t>
      </w:r>
    </w:p>
    <w:p>
      <w:pPr>
        <w:pStyle w:val="Normal"/>
        <w:spacing w:lineRule="auto" w:line="240" w:before="0" w:after="0"/>
        <w:jc w:val="both"/>
        <w:rPr>
          <w:rFonts w:ascii="Times New Roman" w:hAnsi="Times New Roman" w:cs="Times New Roman"/>
          <w:sz w:val="16"/>
          <w:szCs w:val="24"/>
        </w:rPr>
      </w:pPr>
      <w:r>
        <w:rPr/>
        <w:drawing>
          <wp:inline distT="0" distB="0" distL="0" distR="0">
            <wp:extent cx="6750050" cy="2305685"/>
            <wp:effectExtent l="0" t="0" r="0" b="0"/>
            <wp:docPr id="88"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41"/>
                    <pic:cNvPicPr>
                      <a:picLocks noChangeAspect="1" noChangeArrowheads="1"/>
                    </pic:cNvPicPr>
                  </pic:nvPicPr>
                  <pic:blipFill>
                    <a:blip r:embed="rId111"/>
                    <a:stretch>
                      <a:fillRect/>
                    </a:stretch>
                  </pic:blipFill>
                  <pic:spPr bwMode="auto">
                    <a:xfrm>
                      <a:off x="0" y="0"/>
                      <a:ext cx="6750050" cy="2305685"/>
                    </a:xfrm>
                    <a:prstGeom prst="rect">
                      <a:avLst/>
                    </a:prstGeom>
                    <a:noFill/>
                  </pic:spPr>
                </pic:pic>
              </a:graphicData>
            </a:graphic>
          </wp:inline>
        </w:drawing>
      </w:r>
      <w:r>
        <w:rPr>
          <w:rFonts w:cs="Times New Roman" w:ascii="Times New Roman" w:hAnsi="Times New Roman"/>
          <w:sz w:val="16"/>
          <w:szCs w:val="24"/>
        </w:rPr>
        <w:t xml:space="preserve"> </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O conceito e os objetos dos TED e as movimentações financeiras estão descritos na nota explicativa nº 8.16. Demais informações sobre os TED encontram-se no endereço da página https://www.imbel.gov.br/index.php/termos-de-execucao-descentralizada.</w:t>
      </w:r>
    </w:p>
    <w:p>
      <w:pPr>
        <w:pStyle w:val="Normal"/>
        <w:spacing w:lineRule="auto" w:line="240" w:before="0" w:after="0"/>
        <w:jc w:val="both"/>
        <w:rPr>
          <w:rFonts w:ascii="Times New Roman" w:hAnsi="Times New Roman" w:cs="Times New Roman"/>
          <w:color w:val="FF0000"/>
          <w:sz w:val="24"/>
          <w:szCs w:val="24"/>
        </w:rPr>
      </w:pPr>
      <w:r>
        <w:rPr>
          <w:rFonts w:cs="Times New Roman" w:ascii="Times New Roman" w:hAnsi="Times New Roman"/>
          <w:b/>
          <w:sz w:val="24"/>
          <w:szCs w:val="24"/>
        </w:rPr>
        <w:t>42.3.</w:t>
      </w:r>
      <w:r>
        <w:rPr>
          <w:rFonts w:cs="Times New Roman" w:ascii="Times New Roman" w:hAnsi="Times New Roman"/>
          <w:sz w:val="24"/>
          <w:szCs w:val="24"/>
        </w:rPr>
        <w:t xml:space="preserve">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possui, em seu quadro funcional, militares da ativa cedidos dos quais fazem jus ao recebimento da GARI (Gratificação por Atividade Relevante à IMBEL</w:t>
      </w:r>
      <w:r>
        <w:rPr>
          <w:rFonts w:cs="Times New Roman" w:ascii="Times New Roman" w:hAnsi="Times New Roman"/>
          <w:sz w:val="24"/>
          <w:szCs w:val="24"/>
          <w:vertAlign w:val="superscript"/>
        </w:rPr>
        <w:t>®</w:t>
      </w:r>
      <w:r>
        <w:rPr>
          <w:rFonts w:cs="Times New Roman" w:ascii="Times New Roman" w:hAnsi="Times New Roman"/>
          <w:sz w:val="24"/>
          <w:szCs w:val="24"/>
        </w:rPr>
        <w:t>). Em consonância ao artigo 10º do Decreto nº 10.171, de 11 de dezembro de 2019,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não efetua o reembolso dos salários dos militares às Forças Armadas por ser uma Empresa Dependente do Orçamento da União. </w:t>
      </w:r>
      <w:r>
        <w:rPr>
          <w:rFonts w:cs="Times New Roman" w:ascii="Times New Roman" w:hAnsi="Times New Roman"/>
          <w:color w:themeColor="text1" w:val="000000"/>
          <w:sz w:val="24"/>
          <w:szCs w:val="24"/>
        </w:rPr>
        <w:t xml:space="preserve">Em 2026 </w:t>
      </w:r>
      <w:r>
        <w:rPr>
          <w:rFonts w:cs="Times New Roman" w:ascii="Times New Roman" w:hAnsi="Times New Roman"/>
          <w:sz w:val="24"/>
          <w:szCs w:val="24"/>
        </w:rPr>
        <w:t xml:space="preserve">o pagamento efetuado da GARI resumiu-se conforme quadro a seguir: </w:t>
      </w:r>
    </w:p>
    <w:p>
      <w:pPr>
        <w:pStyle w:val="Normal"/>
        <w:spacing w:lineRule="auto" w:line="240" w:before="0" w:after="0"/>
        <w:jc w:val="center"/>
        <w:rPr>
          <w:rFonts w:ascii="Times New Roman" w:hAnsi="Times New Roman" w:cs="Times New Roman"/>
          <w:b/>
        </w:rPr>
      </w:pPr>
      <w:r>
        <w:rPr>
          <w:rFonts w:cs="Times New Roman" w:ascii="Times New Roman" w:hAnsi="Times New Roman"/>
          <w:b/>
          <w:sz w:val="24"/>
          <w:szCs w:val="24"/>
        </w:rPr>
        <w:t xml:space="preserve">                                                                                                                                                                 </w:t>
      </w:r>
      <w:r>
        <w:rPr>
          <w:rFonts w:cs="Times New Roman" w:ascii="Times New Roman" w:hAnsi="Times New Roman"/>
          <w:b/>
        </w:rPr>
        <w:t>R$ mil</w:t>
      </w:r>
    </w:p>
    <w:p>
      <w:pPr>
        <w:pStyle w:val="Normal"/>
        <w:spacing w:lineRule="auto" w:line="240" w:before="0" w:after="0"/>
        <w:jc w:val="both"/>
        <w:rPr>
          <w:rFonts w:ascii="Times New Roman" w:hAnsi="Times New Roman" w:cs="Times New Roman"/>
          <w:b/>
          <w:sz w:val="24"/>
          <w:szCs w:val="24"/>
        </w:rPr>
      </w:pPr>
      <w:r>
        <w:rPr/>
        <w:drawing>
          <wp:inline distT="0" distB="0" distL="0" distR="0">
            <wp:extent cx="6750685" cy="1502410"/>
            <wp:effectExtent l="0" t="0" r="0" b="0"/>
            <wp:docPr id="89"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Figura42"/>
                    <pic:cNvPicPr>
                      <a:picLocks noChangeAspect="1" noChangeArrowheads="1"/>
                    </pic:cNvPicPr>
                  </pic:nvPicPr>
                  <pic:blipFill>
                    <a:blip r:embed="rId112"/>
                    <a:stretch>
                      <a:fillRect/>
                    </a:stretch>
                  </pic:blipFill>
                  <pic:spPr bwMode="auto">
                    <a:xfrm>
                      <a:off x="0" y="0"/>
                      <a:ext cx="6750685" cy="1502410"/>
                    </a:xfrm>
                    <a:prstGeom prst="rect">
                      <a:avLst/>
                    </a:prstGeom>
                    <a:noFill/>
                  </pic:spPr>
                </pic:pic>
              </a:graphicData>
            </a:graphic>
          </wp:inline>
        </w:drawing>
      </w:r>
      <w:r>
        <w:rPr>
          <w:rFonts w:eastAsia="Times New Roman" w:cs="Times New Roman" w:ascii="Times New Roman" w:hAnsi="Times New Roman"/>
          <w:color w:val="000000"/>
          <w:vertAlign w:val="superscript"/>
        </w:rPr>
        <w:t xml:space="preserve"> </w:t>
      </w:r>
      <w:r>
        <w:rPr>
          <w:rFonts w:eastAsia="Times New Roman" w:cs="Times New Roman" w:ascii="Times New Roman" w:hAnsi="Times New Roman"/>
          <w:color w:val="000000"/>
          <w:vertAlign w:val="superscript"/>
        </w:rPr>
        <w:t xml:space="preserve">(1) O Decreto nº 10.727 de 22 de junho de 2021, prevê que o efetivo de Militares da Ativa autorizado é de até 6% (seis por cento) do quadro quantitativo de pessoal da IMBEL®.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color w:val="EE0000"/>
          <w:sz w:val="24"/>
          <w:szCs w:val="24"/>
        </w:rPr>
      </w:pPr>
      <w:r>
        <w:rPr>
          <w:rFonts w:cs="Times New Roman" w:ascii="Times New Roman" w:hAnsi="Times New Roman"/>
          <w:b/>
          <w:sz w:val="24"/>
          <w:szCs w:val="24"/>
        </w:rPr>
        <w:t xml:space="preserve">43. CONCILIAÇÃO ENTRE BALANÇO PUBLICADO E BALANÇO SIAFI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43.1. </w:t>
      </w:r>
      <w:r>
        <w:rPr>
          <w:rFonts w:cs="Times New Roman" w:ascii="Times New Roman" w:hAnsi="Times New Roman"/>
          <w:sz w:val="24"/>
          <w:szCs w:val="24"/>
        </w:rPr>
        <w:t>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43.2.</w:t>
      </w:r>
      <w:r>
        <w:rPr>
          <w:rFonts w:cs="Times New Roman" w:ascii="Times New Roman" w:hAnsi="Times New Roman"/>
          <w:sz w:val="24"/>
          <w:szCs w:val="24"/>
        </w:rPr>
        <w:t xml:space="preserve"> A IMBEL</w:t>
      </w:r>
      <w:r>
        <w:rPr>
          <w:rFonts w:cs="Times New Roman" w:ascii="Times New Roman" w:hAnsi="Times New Roman"/>
          <w:sz w:val="24"/>
          <w:szCs w:val="24"/>
          <w:vertAlign w:val="superscript"/>
        </w:rPr>
        <w:t>®</w:t>
      </w:r>
      <w:r>
        <w:rPr>
          <w:rFonts w:cs="Times New Roman" w:ascii="Times New Roman" w:hAnsi="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43.3.</w:t>
      </w:r>
      <w:r>
        <w:rPr>
          <w:rFonts w:cs="Times New Roman" w:ascii="Times New Roman" w:hAnsi="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rPr>
      </w:pPr>
      <w:r>
        <w:rPr>
          <w:rFonts w:cs="Times New Roman" w:ascii="Times New Roman" w:hAnsi="Times New Roman"/>
          <w:b/>
          <w:sz w:val="24"/>
          <w:szCs w:val="24"/>
        </w:rPr>
        <w:t xml:space="preserve">Em 31/03/2026 </w:t>
      </w:r>
      <w:r>
        <w:rPr>
          <w:rFonts w:cs="Times New Roman" w:ascii="Times New Roman" w:hAnsi="Times New Roman"/>
          <w:b/>
          <w:color w:val="FF0000"/>
          <w:sz w:val="24"/>
          <w:szCs w:val="24"/>
        </w:rPr>
        <w:t xml:space="preserve">             </w:t>
        <w:tab/>
        <w:tab/>
        <w:tab/>
        <w:tab/>
        <w:tab/>
        <w:tab/>
        <w:tab/>
        <w:tab/>
      </w:r>
      <w:r>
        <w:rPr>
          <w:rFonts w:cs="Times New Roman" w:ascii="Times New Roman" w:hAnsi="Times New Roman"/>
          <w:b/>
          <w:color w:val="FF0000"/>
        </w:rPr>
        <w:t xml:space="preserve">                </w:t>
      </w:r>
      <w:r>
        <w:rPr>
          <w:rFonts w:cs="Times New Roman" w:ascii="Times New Roman" w:hAnsi="Times New Roman"/>
          <w:b/>
        </w:rPr>
        <w:t>R$ mil</w:t>
      </w:r>
    </w:p>
    <w:p>
      <w:pPr>
        <w:pStyle w:val="Normal"/>
        <w:spacing w:lineRule="auto" w:line="240" w:before="0" w:after="0"/>
        <w:jc w:val="both"/>
        <w:rPr>
          <w:rFonts w:ascii="Times New Roman" w:hAnsi="Times New Roman" w:cs="Times New Roman"/>
          <w:b/>
          <w:lang w:eastAsia="pt-BR"/>
        </w:rPr>
      </w:pPr>
      <w:r>
        <w:rPr>
          <w:rFonts w:cs="Times New Roman" w:ascii="Times New Roman" w:hAnsi="Times New Roman"/>
          <w:b/>
          <w:lang w:eastAsia="pt-BR"/>
        </w:rPr>
      </w:r>
    </w:p>
    <w:p>
      <w:pPr>
        <w:pStyle w:val="Normal"/>
        <w:spacing w:lineRule="auto" w:line="240" w:before="0" w:after="0"/>
        <w:jc w:val="both"/>
        <w:rPr>
          <w:rFonts w:ascii="Times New Roman" w:hAnsi="Times New Roman" w:cs="Times New Roman"/>
          <w:b/>
          <w:sz w:val="24"/>
          <w:szCs w:val="24"/>
        </w:rPr>
      </w:pPr>
      <w:r>
        <w:rPr/>
        <w:drawing>
          <wp:inline distT="0" distB="0" distL="0" distR="0">
            <wp:extent cx="6748780" cy="2169160"/>
            <wp:effectExtent l="0" t="0" r="0" b="0"/>
            <wp:docPr id="90"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Figura43"/>
                    <pic:cNvPicPr>
                      <a:picLocks noChangeAspect="1" noChangeArrowheads="1"/>
                    </pic:cNvPicPr>
                  </pic:nvPicPr>
                  <pic:blipFill>
                    <a:blip r:embed="rId113"/>
                    <a:stretch>
                      <a:fillRect/>
                    </a:stretch>
                  </pic:blipFill>
                  <pic:spPr bwMode="auto">
                    <a:xfrm>
                      <a:off x="0" y="0"/>
                      <a:ext cx="6748780" cy="2169160"/>
                    </a:xfrm>
                    <a:prstGeom prst="rect">
                      <a:avLst/>
                    </a:prstGeom>
                    <a:noFill/>
                  </pic:spPr>
                </pic:pic>
              </a:graphicData>
            </a:graphic>
          </wp:inline>
        </w:drawing>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 xml:space="preserve">43.4. </w:t>
      </w:r>
      <w:r>
        <w:rPr>
          <w:rFonts w:cs="Times New Roman" w:ascii="Times New Roman" w:hAnsi="Times New Roman"/>
          <w:sz w:val="24"/>
          <w:szCs w:val="24"/>
        </w:rPr>
        <w:t xml:space="preserve">Pelo comparativo destacado, anteriormente, as diferenças se distribuem da seguinte forma: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Em 31/03/2026</w:t>
      </w:r>
      <w:r>
        <w:rPr>
          <w:rFonts w:cs="Times New Roman" w:ascii="Times New Roman" w:hAnsi="Times New Roman"/>
          <w:b/>
          <w:color w:val="FF0000"/>
          <w:sz w:val="24"/>
          <w:szCs w:val="24"/>
        </w:rPr>
        <w:t xml:space="preserve">                   </w:t>
      </w:r>
      <w:r>
        <w:rPr>
          <w:rFonts w:cs="Times New Roman" w:ascii="Times New Roman" w:hAnsi="Times New Roman"/>
          <w:b/>
          <w:szCs w:val="24"/>
        </w:rPr>
        <w:t xml:space="preserve">                                                                                     </w:t>
      </w:r>
      <w:r>
        <w:rPr>
          <w:rFonts w:cs="Times New Roman" w:ascii="Times New Roman" w:hAnsi="Times New Roman"/>
          <w:b/>
          <w:sz w:val="24"/>
          <w:szCs w:val="24"/>
        </w:rPr>
        <w:t xml:space="preserve">                                         </w:t>
      </w:r>
      <w:r>
        <w:rPr>
          <w:rFonts w:cs="Times New Roman" w:ascii="Times New Roman" w:hAnsi="Times New Roman"/>
          <w:b/>
        </w:rPr>
        <w:t>R$ mil</w:t>
      </w:r>
      <w:r>
        <w:rPr>
          <w:rFonts w:cs="Times New Roman" w:ascii="Times New Roman" w:hAnsi="Times New Roman"/>
          <w:b/>
          <w:sz w:val="24"/>
          <w:szCs w:val="24"/>
        </w:rPr>
        <w:t xml:space="preserve"> </w:t>
      </w:r>
    </w:p>
    <w:p>
      <w:pPr>
        <w:pStyle w:val="Normal"/>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 xml:space="preserve">                                                                                              </w:t>
      </w:r>
    </w:p>
    <w:p>
      <w:pPr>
        <w:pStyle w:val="Normal"/>
        <w:spacing w:lineRule="auto" w:line="240" w:before="0" w:after="0"/>
        <w:jc w:val="both"/>
        <w:rPr>
          <w:rFonts w:ascii="Times New Roman" w:hAnsi="Times New Roman" w:eastAsia="Times New Roman" w:cs="Times New Roman"/>
          <w:sz w:val="20"/>
        </w:rPr>
      </w:pPr>
      <w:r>
        <w:rPr/>
        <w:drawing>
          <wp:inline distT="0" distB="0" distL="0" distR="0">
            <wp:extent cx="6750685" cy="4336415"/>
            <wp:effectExtent l="0" t="0" r="0" b="0"/>
            <wp:docPr id="91"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igura44"/>
                    <pic:cNvPicPr>
                      <a:picLocks noChangeAspect="1" noChangeArrowheads="1"/>
                    </pic:cNvPicPr>
                  </pic:nvPicPr>
                  <pic:blipFill>
                    <a:blip r:embed="rId114"/>
                    <a:stretch>
                      <a:fillRect/>
                    </a:stretch>
                  </pic:blipFill>
                  <pic:spPr bwMode="auto">
                    <a:xfrm>
                      <a:off x="0" y="0"/>
                      <a:ext cx="6750685" cy="4336415"/>
                    </a:xfrm>
                    <a:prstGeom prst="rect">
                      <a:avLst/>
                    </a:prstGeom>
                    <a:noFill/>
                  </pic:spPr>
                </pic:pic>
              </a:graphicData>
            </a:graphic>
          </wp:inline>
        </w:drawing>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(1) Valor referente aos lançamentos não apropriados de impostos apurados após o encerramento do SIAFI.</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(2) Lançamentos efetuados no sistema DATASUL após o encerramento do SIAFI de março de 2026.</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(3) Espaço temporal de registro entre SIAFI (liquidação da despesa) e DATASUL (ato da entrada do bem ou serviço); e</w:t>
      </w:r>
    </w:p>
    <w:p>
      <w:pPr>
        <w:pStyle w:val="Normal"/>
        <w:spacing w:lineRule="auto" w:line="240" w:before="0" w:after="0"/>
        <w:jc w:val="both"/>
        <w:rPr>
          <w:rFonts w:ascii="Times New Roman" w:hAnsi="Times New Roman" w:cs="Times New Roman"/>
          <w:sz w:val="16"/>
          <w:szCs w:val="24"/>
        </w:rPr>
      </w:pPr>
      <w:r>
        <w:rPr>
          <w:rFonts w:cs="Times New Roman" w:ascii="Times New Roman" w:hAnsi="Times New Roman"/>
          <w:sz w:val="16"/>
          <w:szCs w:val="24"/>
        </w:rPr>
        <w:t>(4) Falta de evento contábil no registro das Subvenções Governamentais no SIAFI.</w:t>
      </w:r>
    </w:p>
    <w:tbl>
      <w:tblPr>
        <w:tblStyle w:val="Tabelacomgrade"/>
        <w:tblW w:w="9060"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4530"/>
        <w:gridCol w:w="4530"/>
      </w:tblGrid>
      <w:tr>
        <w:trPr/>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Marcio Gabriel Ribeiro</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Administrativo-Financeiro</w:t>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c>
          <w:tcPr>
            <w:tcW w:w="4530" w:type="dxa"/>
            <w:tcBorders>
              <w:top w:val="nil"/>
              <w:start w:val="nil"/>
              <w:bottom w:val="nil"/>
              <w:end w:val="nil"/>
            </w:tcBorders>
            <w:vAlign w:val="center"/>
          </w:tcPr>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Betânia Alves</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Contadora CRC-DF 021352/O-T</w:t>
            </w:r>
          </w:p>
        </w:tc>
      </w:tr>
      <w:tr>
        <w:trPr/>
        <w:tc>
          <w:tcPr>
            <w:tcW w:w="9060" w:type="dxa"/>
            <w:gridSpan w:val="2"/>
            <w:tcBorders>
              <w:top w:val="nil"/>
              <w:start w:val="nil"/>
              <w:bottom w:val="nil"/>
              <w:end w:val="nil"/>
            </w:tcBorders>
            <w:vAlign w:val="center"/>
          </w:tcPr>
          <w:p>
            <w:pPr>
              <w:pStyle w:val="Normal"/>
              <w:widowControl/>
              <w:spacing w:lineRule="auto" w:line="240" w:before="0" w:after="0"/>
              <w:jc w:val="center"/>
              <w:rPr>
                <w:rFonts w:ascii="Calibri" w:hAnsi="Calibri" w:eastAsia="Calibri" w:cs=""/>
                <w:kern w:val="0"/>
                <w:sz w:val="22"/>
                <w:szCs w:val="22"/>
                <w:lang w:val="pt-BR" w:eastAsia="en-US" w:bidi="ar-SA"/>
              </w:rPr>
            </w:pPr>
            <w:r>
              <w:rPr>
                <w:rFonts w:eastAsia="Calibri" w:cs=""/>
                <w:kern w:val="0"/>
                <w:sz w:val="22"/>
                <w:szCs w:val="22"/>
                <w:lang w:val="pt-BR" w:eastAsia="en-US" w:bidi="ar-SA"/>
              </w:rPr>
            </w:r>
          </w:p>
          <w:p>
            <w:pPr>
              <w:pStyle w:val="Normal"/>
              <w:widowControl/>
              <w:spacing w:lineRule="auto" w:line="240" w:before="0" w:after="0"/>
              <w:jc w:val="center"/>
              <w:rPr>
                <w:rFonts w:ascii="Times New Roman" w:hAnsi="Times New Roman" w:cs="Times New Roman"/>
                <w:b/>
                <w:sz w:val="20"/>
                <w:szCs w:val="24"/>
              </w:rPr>
            </w:pPr>
            <w:r>
              <w:rPr>
                <w:rFonts w:eastAsia="Calibri" w:cs="Times New Roman" w:ascii="Times New Roman" w:hAnsi="Times New Roman"/>
                <w:b/>
                <w:kern w:val="0"/>
                <w:sz w:val="20"/>
                <w:szCs w:val="24"/>
                <w:lang w:val="pt-BR" w:eastAsia="en-US" w:bidi="ar-SA"/>
              </w:rPr>
              <w:t>Ricardo Rodrigues Canhaci</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t>Diretor Presidente</w:t>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start"/>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p>
            <w:pPr>
              <w:pStyle w:val="Normal"/>
              <w:widowControl/>
              <w:spacing w:lineRule="auto" w:line="240" w:before="0" w:after="0"/>
              <w:jc w:val="center"/>
              <w:rPr>
                <w:rFonts w:ascii="Times New Roman" w:hAnsi="Times New Roman" w:cs="Times New Roman"/>
                <w:sz w:val="20"/>
                <w:szCs w:val="24"/>
              </w:rPr>
            </w:pPr>
            <w:r>
              <w:rPr>
                <w:rFonts w:eastAsia="Calibri" w:cs="Times New Roman" w:ascii="Times New Roman" w:hAnsi="Times New Roman"/>
                <w:kern w:val="0"/>
                <w:sz w:val="20"/>
                <w:szCs w:val="24"/>
                <w:lang w:val="pt-BR" w:eastAsia="en-US" w:bidi="ar-SA"/>
              </w:rPr>
            </w:r>
          </w:p>
        </w:tc>
      </w:tr>
    </w:tbl>
    <w:p>
      <w:pPr>
        <w:pStyle w:val="Normal"/>
        <w:spacing w:lineRule="auto" w:line="240" w:before="0" w:after="0"/>
        <w:jc w:val="center"/>
        <w:rPr>
          <w:rFonts w:ascii="Times New Roman" w:hAnsi="Times New Roman" w:cs="Times New Roman"/>
          <w:b/>
          <w:sz w:val="24"/>
          <w:szCs w:val="24"/>
        </w:rPr>
      </w:pPr>
      <w:r>
        <w:rPr>
          <w:rFonts w:cs="Times New Roman" w:ascii="Times New Roman" w:hAnsi="Times New Roman"/>
          <w:b/>
          <w:sz w:val="48"/>
          <w:szCs w:val="24"/>
        </w:rPr>
        <w:t>ANOTAÇÕES</w:t>
      </w:r>
    </w:p>
    <w:p>
      <w:pPr>
        <w:pStyle w:val="Normal"/>
        <w:spacing w:lineRule="auto" w:line="240" w:before="0" w:after="0"/>
        <w:jc w:val="center"/>
        <w:rPr>
          <w:rFonts w:ascii="Times New Roman" w:hAnsi="Times New Roman" w:cs="Times New Roman"/>
          <w:b/>
          <w:sz w:val="48"/>
          <w:szCs w:val="24"/>
        </w:rPr>
      </w:pPr>
      <w:r>
        <w:rPr>
          <w:rFonts w:cs="Times New Roman" w:ascii="Times New Roman" w:hAnsi="Times New Roman"/>
          <w:b/>
          <w:sz w:val="48"/>
          <w:szCs w:val="24"/>
        </w:rPr>
      </w:r>
    </w:p>
    <w:tbl>
      <w:tblPr>
        <w:tblStyle w:val="Tabelacomgrade"/>
        <w:tblW w:w="9070" w:type="dxa"/>
        <w:jc w:val="start"/>
        <w:tblInd w:w="714" w:type="dxa"/>
        <w:tblLayout w:type="fixed"/>
        <w:tblCellMar>
          <w:top w:w="0" w:type="dxa"/>
          <w:start w:w="108" w:type="dxa"/>
          <w:bottom w:w="0" w:type="dxa"/>
          <w:end w:w="108" w:type="dxa"/>
        </w:tblCellMar>
        <w:tblLook w:firstRow="1" w:noVBand="1" w:lastRow="0" w:firstColumn="1" w:lastColumn="0" w:noHBand="0" w:val="04a0"/>
      </w:tblPr>
      <w:tblGrid>
        <w:gridCol w:w="9070"/>
      </w:tblGrid>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r>
        <w:trPr/>
        <w:tc>
          <w:tcPr>
            <w:tcW w:w="9070" w:type="dxa"/>
            <w:tcBorders>
              <w:start w:val="nil"/>
              <w:end w:val="nil"/>
            </w:tcBorders>
          </w:tcPr>
          <w:p>
            <w:pPr>
              <w:pStyle w:val="Normal"/>
              <w:widowControl/>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pt-BR" w:eastAsia="en-US" w:bidi="ar-SA"/>
              </w:rPr>
            </w:r>
          </w:p>
        </w:tc>
      </w:tr>
    </w:tbl>
    <w:p>
      <w:pPr>
        <w:pStyle w:val="Normal"/>
        <w:spacing w:before="0" w:after="200"/>
        <w:jc w:val="end"/>
        <w:rPr>
          <w:rFonts w:ascii="Times New Roman" w:hAnsi="Times New Roman" w:cs="Times New Roman"/>
          <w:sz w:val="24"/>
          <w:szCs w:val="24"/>
        </w:rPr>
      </w:pPr>
      <w:r>
        <w:rPr>
          <w:rFonts w:cs="Times New Roman" w:ascii="Times New Roman" w:hAnsi="Times New Roman"/>
          <w:sz w:val="24"/>
          <w:szCs w:val="24"/>
        </w:rPr>
      </w:r>
    </w:p>
    <w:sectPr>
      <w:headerReference w:type="default" r:id="rId115"/>
      <w:headerReference w:type="first" r:id="rId116"/>
      <w:footerReference w:type="default" r:id="rId117"/>
      <w:footerReference w:type="first" r:id="rId118"/>
      <w:type w:val="nextPage"/>
      <w:pgSz w:w="11906" w:h="16838"/>
      <w:pgMar w:left="709" w:right="567" w:gutter="0" w:header="709" w:top="766" w:footer="284"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mbria">
    <w:charset w:val="00" w:characterSet="windows-1252"/>
    <w:family w:val="roman"/>
    <w:pitch w:val="variable"/>
  </w:font>
  <w:font w:name="Calibri">
    <w:charset w:val="00" w:characterSet="windows-1252"/>
    <w:family w:val="swiss"/>
    <w:pitch w:val="variable"/>
  </w:font>
  <w:font w:name="Trebuchet MS">
    <w:charset w:val="00" w:characterSet="windows-1252"/>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69616900"/>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50292126"/>
      <w:docPartObj>
        <w:docPartGallery w:val="Page Numbers (Bottom of Page)"/>
        <w:docPartUnique w:val="true"/>
        <w:docPartGallery w:val="Page Numbers (Top of Page)"/>
        <w:docPartUnique w:val="true"/>
      </w:docPartObj>
    </w:sdtPr>
    <w:sdtContent>
      <w:p>
        <w:pPr>
          <w:pStyle w:val="Footer"/>
          <w:rPr>
            <w:b/>
            <w:bCs/>
            <w:sz w:val="24"/>
            <w:szCs w:val="24"/>
          </w:rPr>
        </w:pPr>
        <w:r>
          <w:rPr>
            <w:b/>
            <w:bCs/>
            <w:sz w:val="24"/>
            <w:szCs w:val="24"/>
          </w:rPr>
        </w:r>
      </w:p>
      <w:p>
        <w:pPr>
          <w:pStyle w:val="Footer"/>
          <w:jc w:val="end"/>
          <w:rPr/>
        </w:pPr>
        <w:r>
          <w:rPr/>
        </w:r>
      </w:p>
      <w:p>
        <w:pPr>
          <w:pStyle w:val="Footer"/>
          <w:jc w:val="end"/>
          <w:rPr/>
        </w:pPr>
        <w:r>
          <w:rPr/>
        </w:r>
      </w:p>
    </w:sdtContent>
  </w:sdt>
  <w:p>
    <w:pPr>
      <w:pStyle w:val="Footer"/>
      <w:jc w:val="center"/>
      <w:rPr/>
    </w:pPr>
    <w:r>
      <w:rPr/>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4</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4</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5</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6</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7</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8</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9</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20</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21</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35351426"/>
      <w:docPartObj>
        <w:docPartGallery w:val="Page Numbers (Bottom of Page)"/>
        <w:docPartUnique w:val="true"/>
        <w:docPartGallery w:val="Page Numbers (Top of Page)"/>
        <w:docPartUnique w:val="true"/>
      </w:docPartObj>
    </w:sdtPr>
    <w:sdtContent>
      <w:p>
        <w:pPr>
          <w:pStyle w:val="Footer"/>
          <w:jc w:val="end"/>
          <w:rPr>
            <w:b/>
            <w:bCs/>
            <w:sz w:val="24"/>
            <w:szCs w:val="24"/>
          </w:rPr>
        </w:pPr>
        <w:r>
          <w:rPr/>
          <w:t xml:space="preserve">Página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38</w:t>
        </w:r>
        <w:r>
          <w:rPr>
            <w:b/>
            <w:bCs/>
            <w:sz w:val="24"/>
            <w:szCs w:val="24"/>
          </w:rPr>
          <w:fldChar w:fldCharType="end"/>
        </w:r>
        <w:r>
          <w:rPr/>
          <w:t xml:space="preserve"> de </w:t>
        </w:r>
        <w:r>
          <w:rPr>
            <w:b/>
            <w:bCs/>
            <w:sz w:val="24"/>
            <w:szCs w:val="24"/>
          </w:rPr>
          <w:t>38</w:t>
        </w:r>
      </w:p>
      <w:p>
        <w:pPr>
          <w:pStyle w:val="Footer"/>
          <w:jc w:val="end"/>
          <w:rPr/>
        </w:pPr>
        <w:r>
          <w:rPr/>
        </w:r>
      </w:p>
    </w:sdtContent>
  </w:sdt>
  <w:p>
    <w:pPr>
      <w:pStyle w:val="Normal"/>
      <w:tabs>
        <w:tab w:val="clear" w:pos="907"/>
        <w:tab w:val="left" w:pos="6990" w:leader="none"/>
      </w:tabs>
      <w:spacing w:before="0" w:after="200"/>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3" name="Imagem 74901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749016399"/>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131"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4"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0"/>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start"/>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5"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13"/>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tabs>
        <w:tab w:val="clear" w:pos="4252"/>
        <w:tab w:val="clear" w:pos="8504"/>
        <w:tab w:val="left" w:pos="12090" w:leader="none"/>
      </w:tabs>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8" name="Imagem 749016399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749016399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77"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9" name="Imagem 0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0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11" name="Imagem 749016399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749016399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79"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12" name="Imagem 0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0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14" name="Imagem 749016399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749016399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80"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15" name="Imagem 0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0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17" name="Imagem 749016399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749016399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81"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18" name="Imagem 0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0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20" name="Imagem 749016399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749016399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82"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21" name="Imagem 0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0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22" name="Imagem 749016399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749016399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84"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23" name="Imagem 0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0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38" name="Imagem 749016399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749016399 Copia 1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112"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39" name="Imagem 0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m 0 Copia 1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41" name="Imagem 749016399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m 749016399 Copia 1 Copia 1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113"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42" name="Imagem 0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0 Copia 1 Copia 1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6616"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1026"/>
      <w:gridCol w:w="5590"/>
    </w:tblGrid>
    <w:tr>
      <w:trPr/>
      <w:tc>
        <w:tcPr>
          <w:tcW w:w="1026" w:type="dxa"/>
          <w:tcBorders>
            <w:top w:val="nil"/>
            <w:start w:val="nil"/>
            <w:bottom w:val="nil"/>
            <w:end w:val="nil"/>
          </w:tcBorders>
        </w:tcPr>
        <w:p>
          <w:pPr>
            <w:pStyle w:val="Header"/>
            <w:widowControl/>
            <w:spacing w:before="0" w:after="0"/>
            <w:jc w:val="center"/>
            <w:rPr>
              <w:rFonts w:ascii="Arial" w:hAnsi="Arial" w:cs="Arial"/>
              <w:b/>
              <w:color w:val="636B3E"/>
              <w:sz w:val="24"/>
              <w:szCs w:val="23"/>
            </w:rPr>
          </w:pPr>
          <w:r>
            <w:rPr>
              <w:rFonts w:eastAsia="Calibri"/>
              <w:kern w:val="0"/>
              <w:lang w:val="pt-BR" w:eastAsia="en-US" w:bidi="ar-SA"/>
            </w:rPr>
            <w:drawing>
              <wp:inline distT="0" distB="0" distL="0" distR="0">
                <wp:extent cx="514350" cy="342900"/>
                <wp:effectExtent l="0" t="0" r="0" b="0"/>
                <wp:docPr id="92" name="Imagem 749016399 Copia 1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m 749016399 Copia 1 Copia 1 Copia 1 Copia 1 Copia 1 Copia 1 Copia 1 Copia 1 Copia 1"/>
                        <pic:cNvPicPr>
                          <a:picLocks noChangeAspect="1" noChangeArrowheads="1"/>
                        </pic:cNvPicPr>
                      </pic:nvPicPr>
                      <pic:blipFill>
                        <a:blip r:embed="rId1"/>
                        <a:stretch>
                          <a:fillRect/>
                        </a:stretch>
                      </pic:blipFill>
                      <pic:spPr bwMode="auto">
                        <a:xfrm>
                          <a:off x="0" y="0"/>
                          <a:ext cx="514350" cy="342900"/>
                        </a:xfrm>
                        <a:prstGeom prst="rect">
                          <a:avLst/>
                        </a:prstGeom>
                        <a:noFill/>
                      </pic:spPr>
                    </pic:pic>
                  </a:graphicData>
                </a:graphic>
              </wp:inline>
            </w:drawing>
          </w:r>
        </w:p>
      </w:tc>
      <w:tc>
        <w:tcPr>
          <w:tcW w:w="5590" w:type="dxa"/>
          <w:tcBorders>
            <w:top w:val="nil"/>
            <w:start w:val="nil"/>
            <w:bottom w:val="nil"/>
            <w:end w:val="nil"/>
          </w:tcBorders>
          <w:vAlign w:val="center"/>
        </w:tcPr>
        <w:p>
          <w:pPr>
            <w:pStyle w:val="Header"/>
            <w:widowControl/>
            <w:spacing w:before="0" w:after="0"/>
            <w:jc w:val="center"/>
            <w:rPr>
              <w:rFonts w:ascii="Arial" w:hAnsi="Arial" w:cs="Arial"/>
              <w:b/>
              <w:sz w:val="24"/>
              <w:szCs w:val="23"/>
            </w:rPr>
          </w:pPr>
          <w:r>
            <w:rPr>
              <w:rFonts w:eastAsia="Calibri" w:cs="Arial" w:ascii="Arial" w:hAnsi="Arial"/>
              <w:b/>
              <w:kern w:val="0"/>
              <w:sz w:val="24"/>
              <w:szCs w:val="23"/>
              <w:lang w:val="pt-BR" w:eastAsia="en-US" w:bidi="ar-SA"/>
            </w:rPr>
            <w:t>INDÚSTRIA DE MATERIAL BÉLICO DO BRASIL</w:t>
          </w:r>
        </w:p>
        <w:p>
          <w:pPr>
            <w:pStyle w:val="Header"/>
            <w:widowControl/>
            <w:spacing w:before="0" w:after="0"/>
            <w:jc w:val="center"/>
            <w:rPr>
              <w:rFonts w:ascii="Arial" w:hAnsi="Arial" w:cs="Arial"/>
              <w:i/>
              <w:color w:val="636B3E"/>
              <w:sz w:val="15"/>
              <w:szCs w:val="15"/>
            </w:rPr>
          </w:pPr>
          <w:r>
            <w:rPr>
              <w:rFonts w:eastAsia="Calibri" w:cs="Arial" w:ascii="Arial" w:hAnsi="Arial"/>
              <w:i/>
              <w:kern w:val="0"/>
              <w:sz w:val="15"/>
              <w:szCs w:val="15"/>
              <w:lang w:val="pt-BR" w:eastAsia="en-US" w:bidi="ar-SA"/>
            </w:rPr>
            <w:t>“</w:t>
          </w:r>
          <w:r>
            <w:rPr>
              <w:rFonts w:eastAsia="Calibri" w:cs="Arial" w:ascii="Arial" w:hAnsi="Arial"/>
              <w:i/>
              <w:kern w:val="0"/>
              <w:sz w:val="15"/>
              <w:szCs w:val="15"/>
              <w:lang w:val="pt-BR" w:eastAsia="en-US" w:bidi="ar-SA"/>
            </w:rPr>
            <w:t>Vinculada ao Ministério da Defesa por intermédio do Comando do Exército”</w:t>
          </w:r>
        </w:p>
      </w:tc>
    </w:tr>
  </w:tbl>
  <w:p>
    <w:pPr>
      <w:pStyle w:val="Header"/>
      <w:rPr/>
    </w:pPr>
    <w:r>
      <w:rPr/>
      <w:drawing>
        <wp:anchor distT="0" distB="0" distL="0" distR="0" simplePos="0" relativeHeight="130" behindDoc="1" locked="0" layoutInCell="0" allowOverlap="1">
          <wp:simplePos x="0" y="0"/>
          <wp:positionH relativeFrom="page">
            <wp:align>right</wp:align>
          </wp:positionH>
          <wp:positionV relativeFrom="paragraph">
            <wp:posOffset>-896620</wp:posOffset>
          </wp:positionV>
          <wp:extent cx="10686415" cy="2725420"/>
          <wp:effectExtent l="0" t="0" r="0" b="0"/>
          <wp:wrapNone/>
          <wp:docPr id="93" name="Imagem 0 Copia 1 Copia 1 Copia 1 Copia 1 Copia 1 Copia 1 Copia 1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0 Copia 1 Copia 1 Copia 1 Copia 1 Copia 1 Copia 1 Copia 1 Copia 1 Copia 1"/>
                  <pic:cNvPicPr>
                    <a:picLocks noChangeAspect="1" noChangeArrowheads="1"/>
                  </pic:cNvPicPr>
                </pic:nvPicPr>
                <pic:blipFill>
                  <a:blip r:embed="rId2"/>
                  <a:stretch>
                    <a:fillRect/>
                  </a:stretch>
                </pic:blipFill>
                <pic:spPr bwMode="auto">
                  <a:xfrm>
                    <a:off x="0" y="0"/>
                    <a:ext cx="10686415" cy="2725420"/>
                  </a:xfrm>
                  <a:prstGeom prst="rect">
                    <a:avLst/>
                  </a:prstGeom>
                  <a:noFill/>
                </pic:spPr>
              </pic:pic>
            </a:graphicData>
          </a:graphic>
        </wp:anchor>
      </w:drawing>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nothing"/>
      <w:lvlText w:val=""/>
      <w:lvlJc w:val="start"/>
      <w:pPr>
        <w:tabs>
          <w:tab w:val="num" w:pos="0"/>
        </w:tabs>
        <w:ind w:start="0" w:hanging="0"/>
      </w:pPr>
      <w:rPr/>
    </w:lvl>
    <w:lvl w:ilvl="1">
      <w:start w:val="1"/>
      <w:numFmt w:val="decimal"/>
      <w:pStyle w:val="Heading2"/>
      <w:lvlText w:val="%2"/>
      <w:lvlJc w:val="start"/>
      <w:pPr>
        <w:tabs>
          <w:tab w:val="num" w:pos="0"/>
        </w:tabs>
        <w:ind w:start="0" w:hanging="0"/>
      </w:pPr>
      <w:rPr/>
    </w:lvl>
    <w:lvl w:ilvl="2">
      <w:start w:val="1"/>
      <w:numFmt w:val="none"/>
      <w:pStyle w:val="Heading3"/>
      <w:suff w:val="nothing"/>
      <w:lvlText w:val=""/>
      <w:lvlJc w:val="start"/>
      <w:pPr>
        <w:tabs>
          <w:tab w:val="num" w:pos="0"/>
        </w:tabs>
        <w:ind w:start="0" w:hanging="0"/>
      </w:pPr>
      <w:rPr/>
    </w:lvl>
    <w:lvl w:ilvl="3">
      <w:start w:val="1"/>
      <w:numFmt w:val="none"/>
      <w:pStyle w:val="Heading4"/>
      <w:suff w:val="nothing"/>
      <w:lvlText w:val=""/>
      <w:lvlJc w:val="start"/>
      <w:pPr>
        <w:tabs>
          <w:tab w:val="num" w:pos="0"/>
        </w:tabs>
        <w:ind w:start="0" w:hanging="0"/>
      </w:pPr>
      <w:rPr/>
    </w:lvl>
    <w:lvl w:ilvl="4">
      <w:start w:val="1"/>
      <w:numFmt w:val="none"/>
      <w:pStyle w:val="Heading5"/>
      <w:suff w:val="nothing"/>
      <w:lvlText w:val=""/>
      <w:lvlJc w:val="start"/>
      <w:pPr>
        <w:tabs>
          <w:tab w:val="num" w:pos="0"/>
        </w:tabs>
        <w:ind w:start="0" w:hanging="0"/>
      </w:pPr>
      <w:rPr/>
    </w:lvl>
    <w:lvl w:ilvl="5">
      <w:start w:val="1"/>
      <w:numFmt w:val="none"/>
      <w:pStyle w:val="Heading6"/>
      <w:suff w:val="nothing"/>
      <w:lvlText w:val=""/>
      <w:lvlJc w:val="start"/>
      <w:pPr>
        <w:tabs>
          <w:tab w:val="num" w:pos="0"/>
        </w:tabs>
        <w:ind w:start="0" w:hanging="0"/>
      </w:pPr>
      <w:rPr/>
    </w:lvl>
    <w:lvl w:ilvl="6">
      <w:start w:val="1"/>
      <w:numFmt w:val="none"/>
      <w:pStyle w:val="Heading7"/>
      <w:suff w:val="nothing"/>
      <w:lvlText w:val=""/>
      <w:lvlJc w:val="start"/>
      <w:pPr>
        <w:tabs>
          <w:tab w:val="num" w:pos="0"/>
        </w:tabs>
        <w:ind w:start="0" w:hanging="0"/>
      </w:pPr>
      <w:rPr/>
    </w:lvl>
    <w:lvl w:ilvl="7">
      <w:start w:val="1"/>
      <w:numFmt w:val="none"/>
      <w:pStyle w:val="Heading8"/>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decimal"/>
      <w:lvlText w:val="%1."/>
      <w:lvlJc w:val="start"/>
      <w:pPr>
        <w:tabs>
          <w:tab w:val="num" w:pos="0"/>
        </w:tabs>
        <w:ind w:start="720" w:hanging="360"/>
      </w:pPr>
      <w:rPr>
        <w:color w:val="auto"/>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lowerLetter"/>
      <w:lvlText w:val="%1)"/>
      <w:lvlJc w:val="start"/>
      <w:pPr>
        <w:tabs>
          <w:tab w:val="num" w:pos="0"/>
        </w:tabs>
        <w:ind w:start="720" w:hanging="360"/>
      </w:pPr>
      <w:rPr>
        <w:rFonts w:ascii="Times New Roman" w:hAnsi="Times New Roman" w:eastAsia="Calibri" w:cs="Times New Roman" w:eastAsiaTheme="minorHAnsi"/>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lowerLetter"/>
      <w:lvlText w:val="%1)"/>
      <w:lvlJc w:val="start"/>
      <w:pPr>
        <w:tabs>
          <w:tab w:val="num" w:pos="0"/>
        </w:tabs>
        <w:ind w:start="786" w:hanging="360"/>
      </w:pPr>
      <w:rPr/>
    </w:lvl>
    <w:lvl w:ilvl="1">
      <w:start w:val="1"/>
      <w:numFmt w:val="lowerLetter"/>
      <w:lvlText w:val="%2."/>
      <w:lvlJc w:val="start"/>
      <w:pPr>
        <w:tabs>
          <w:tab w:val="num" w:pos="0"/>
        </w:tabs>
        <w:ind w:start="1506" w:hanging="360"/>
      </w:pPr>
      <w:rPr/>
    </w:lvl>
    <w:lvl w:ilvl="2">
      <w:start w:val="1"/>
      <w:numFmt w:val="lowerRoman"/>
      <w:lvlText w:val="%3."/>
      <w:lvlJc w:val="end"/>
      <w:pPr>
        <w:tabs>
          <w:tab w:val="num" w:pos="0"/>
        </w:tabs>
        <w:ind w:start="2226" w:hanging="180"/>
      </w:pPr>
      <w:rPr/>
    </w:lvl>
    <w:lvl w:ilvl="3">
      <w:start w:val="1"/>
      <w:numFmt w:val="decimal"/>
      <w:lvlText w:val="%4."/>
      <w:lvlJc w:val="start"/>
      <w:pPr>
        <w:tabs>
          <w:tab w:val="num" w:pos="0"/>
        </w:tabs>
        <w:ind w:start="2946" w:hanging="360"/>
      </w:pPr>
      <w:rPr/>
    </w:lvl>
    <w:lvl w:ilvl="4">
      <w:start w:val="1"/>
      <w:numFmt w:val="lowerLetter"/>
      <w:lvlText w:val="%5."/>
      <w:lvlJc w:val="start"/>
      <w:pPr>
        <w:tabs>
          <w:tab w:val="num" w:pos="0"/>
        </w:tabs>
        <w:ind w:start="3666" w:hanging="360"/>
      </w:pPr>
      <w:rPr/>
    </w:lvl>
    <w:lvl w:ilvl="5">
      <w:start w:val="1"/>
      <w:numFmt w:val="lowerRoman"/>
      <w:lvlText w:val="%6."/>
      <w:lvlJc w:val="end"/>
      <w:pPr>
        <w:tabs>
          <w:tab w:val="num" w:pos="0"/>
        </w:tabs>
        <w:ind w:start="4386" w:hanging="180"/>
      </w:pPr>
      <w:rPr/>
    </w:lvl>
    <w:lvl w:ilvl="6">
      <w:start w:val="1"/>
      <w:numFmt w:val="decimal"/>
      <w:lvlText w:val="%7."/>
      <w:lvlJc w:val="start"/>
      <w:pPr>
        <w:tabs>
          <w:tab w:val="num" w:pos="0"/>
        </w:tabs>
        <w:ind w:start="5106" w:hanging="360"/>
      </w:pPr>
      <w:rPr/>
    </w:lvl>
    <w:lvl w:ilvl="7">
      <w:start w:val="1"/>
      <w:numFmt w:val="lowerLetter"/>
      <w:lvlText w:val="%8."/>
      <w:lvlJc w:val="start"/>
      <w:pPr>
        <w:tabs>
          <w:tab w:val="num" w:pos="0"/>
        </w:tabs>
        <w:ind w:start="5826" w:hanging="360"/>
      </w:pPr>
      <w:rPr/>
    </w:lvl>
    <w:lvl w:ilvl="8">
      <w:start w:val="1"/>
      <w:numFmt w:val="lowerRoman"/>
      <w:lvlText w:val="%9."/>
      <w:lvlJc w:val="end"/>
      <w:pPr>
        <w:tabs>
          <w:tab w:val="num" w:pos="0"/>
        </w:tabs>
        <w:ind w:start="6546" w:hanging="180"/>
      </w:pPr>
      <w:rPr/>
    </w:lvl>
  </w:abstractNum>
  <w:abstractNum w:abstractNumId="6">
    <w:lvl w:ilvl="0">
      <w:start w:val="3"/>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7">
    <w:lvl w:ilvl="0">
      <w:start w:val="1"/>
      <w:numFmt w:val="lowerLetter"/>
      <w:lvlText w:val="%1)"/>
      <w:lvlJc w:val="start"/>
      <w:pPr>
        <w:tabs>
          <w:tab w:val="num" w:pos="0"/>
        </w:tabs>
        <w:ind w:start="720" w:hanging="360"/>
      </w:pPr>
      <w:rPr>
        <w:b w:val="false"/>
        <w:sz w:val="16"/>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907"/>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2fbe"/>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pt-BR" w:eastAsia="en-US" w:bidi="ar-SA"/>
    </w:rPr>
  </w:style>
  <w:style w:type="paragraph" w:styleId="Heading1">
    <w:name w:val="heading 1"/>
    <w:basedOn w:val="Normal"/>
    <w:next w:val="Normal"/>
    <w:link w:val="Ttulo1Char"/>
    <w:qFormat/>
    <w:rsid w:val="002b6b48"/>
    <w:pPr>
      <w:keepNext w:val="true"/>
      <w:numPr>
        <w:ilvl w:val="0"/>
        <w:numId w:val="1"/>
      </w:numPr>
      <w:suppressAutoHyphens w:val="true"/>
      <w:spacing w:lineRule="auto" w:line="240" w:before="360" w:after="360"/>
      <w:jc w:val="center"/>
      <w:outlineLvl w:val="0"/>
    </w:pPr>
    <w:rPr>
      <w:rFonts w:ascii="Times New Roman" w:hAnsi="Times New Roman" w:eastAsia="Times New Roman" w:cs="Times New Roman"/>
      <w:b/>
      <w:bCs/>
      <w:sz w:val="28"/>
      <w:szCs w:val="24"/>
      <w:lang w:eastAsia="ar-SA"/>
    </w:rPr>
  </w:style>
  <w:style w:type="paragraph" w:styleId="Heading2">
    <w:name w:val="heading 2"/>
    <w:basedOn w:val="Normal"/>
    <w:next w:val="Normal"/>
    <w:link w:val="Ttulo2Char"/>
    <w:qFormat/>
    <w:rsid w:val="002b6b48"/>
    <w:pPr>
      <w:keepNext w:val="true"/>
      <w:numPr>
        <w:ilvl w:val="1"/>
        <w:numId w:val="1"/>
      </w:numPr>
      <w:suppressAutoHyphens w:val="true"/>
      <w:spacing w:lineRule="auto" w:line="240" w:before="0" w:after="0"/>
      <w:ind w:start="15"/>
      <w:outlineLvl w:val="1"/>
    </w:pPr>
    <w:rPr>
      <w:rFonts w:ascii="Arial" w:hAnsi="Arial" w:eastAsia="Times New Roman" w:cs="Arial"/>
      <w:b/>
      <w:bCs/>
      <w:sz w:val="24"/>
      <w:szCs w:val="24"/>
      <w:lang w:eastAsia="ar-SA"/>
    </w:rPr>
  </w:style>
  <w:style w:type="paragraph" w:styleId="Heading3">
    <w:name w:val="heading 3"/>
    <w:basedOn w:val="Normal"/>
    <w:next w:val="Normal"/>
    <w:link w:val="Ttulo3Char"/>
    <w:qFormat/>
    <w:rsid w:val="002b6b48"/>
    <w:pPr>
      <w:keepNext w:val="true"/>
      <w:numPr>
        <w:ilvl w:val="2"/>
        <w:numId w:val="1"/>
      </w:numPr>
      <w:suppressAutoHyphens w:val="true"/>
      <w:spacing w:lineRule="auto" w:line="240" w:before="0" w:after="0"/>
      <w:ind w:start="720"/>
      <w:outlineLvl w:val="2"/>
    </w:pPr>
    <w:rPr>
      <w:rFonts w:ascii="Arial" w:hAnsi="Arial" w:eastAsia="Times New Roman" w:cs="Arial"/>
      <w:b/>
      <w:bCs/>
      <w:sz w:val="24"/>
      <w:szCs w:val="24"/>
      <w:lang w:eastAsia="ar-SA"/>
    </w:rPr>
  </w:style>
  <w:style w:type="paragraph" w:styleId="Heading4">
    <w:name w:val="heading 4"/>
    <w:basedOn w:val="Normal"/>
    <w:next w:val="Normal"/>
    <w:link w:val="Ttulo4Char"/>
    <w:qFormat/>
    <w:rsid w:val="002b6b48"/>
    <w:pPr>
      <w:keepNext w:val="true"/>
      <w:numPr>
        <w:ilvl w:val="3"/>
        <w:numId w:val="1"/>
      </w:numPr>
      <w:suppressAutoHyphens w:val="true"/>
      <w:spacing w:lineRule="auto" w:line="240" w:before="0" w:after="0"/>
      <w:jc w:val="center"/>
      <w:outlineLvl w:val="3"/>
    </w:pPr>
    <w:rPr>
      <w:rFonts w:ascii="Arial" w:hAnsi="Arial" w:eastAsia="Times New Roman" w:cs="Arial"/>
      <w:b/>
      <w:bCs/>
      <w:sz w:val="26"/>
      <w:szCs w:val="24"/>
      <w:lang w:eastAsia="ar-SA"/>
    </w:rPr>
  </w:style>
  <w:style w:type="paragraph" w:styleId="Heading5">
    <w:name w:val="heading 5"/>
    <w:basedOn w:val="Normal"/>
    <w:next w:val="Normal"/>
    <w:link w:val="Ttulo5Char"/>
    <w:qFormat/>
    <w:rsid w:val="002b6b48"/>
    <w:pPr>
      <w:keepNext w:val="true"/>
      <w:numPr>
        <w:ilvl w:val="4"/>
        <w:numId w:val="1"/>
      </w:numPr>
      <w:suppressAutoHyphens w:val="true"/>
      <w:spacing w:lineRule="auto" w:line="240" w:before="0" w:after="0"/>
      <w:outlineLvl w:val="4"/>
    </w:pPr>
    <w:rPr>
      <w:rFonts w:ascii="Times New Roman" w:hAnsi="Times New Roman" w:eastAsia="Times New Roman" w:cs="Times New Roman"/>
      <w:b/>
      <w:bCs/>
      <w:sz w:val="24"/>
      <w:szCs w:val="24"/>
      <w:lang w:eastAsia="ar-SA"/>
    </w:rPr>
  </w:style>
  <w:style w:type="paragraph" w:styleId="Heading6">
    <w:name w:val="heading 6"/>
    <w:basedOn w:val="Normal"/>
    <w:next w:val="Normal"/>
    <w:link w:val="Ttulo6Char"/>
    <w:qFormat/>
    <w:rsid w:val="002b6b48"/>
    <w:pPr>
      <w:keepNext w:val="true"/>
      <w:numPr>
        <w:ilvl w:val="5"/>
        <w:numId w:val="1"/>
      </w:numPr>
      <w:suppressAutoHyphens w:val="true"/>
      <w:spacing w:lineRule="exact" w:line="288" w:before="0" w:after="0"/>
      <w:outlineLvl w:val="5"/>
    </w:pPr>
    <w:rPr>
      <w:rFonts w:ascii="Arial" w:hAnsi="Arial" w:eastAsia="Times New Roman" w:cs="Arial"/>
      <w:b/>
      <w:bCs/>
      <w:szCs w:val="24"/>
      <w:lang w:eastAsia="ar-SA"/>
    </w:rPr>
  </w:style>
  <w:style w:type="paragraph" w:styleId="Heading7">
    <w:name w:val="heading 7"/>
    <w:basedOn w:val="Normal"/>
    <w:next w:val="Normal"/>
    <w:link w:val="Ttulo7Char"/>
    <w:qFormat/>
    <w:rsid w:val="002b6b48"/>
    <w:pPr>
      <w:keepNext w:val="true"/>
      <w:numPr>
        <w:ilvl w:val="6"/>
        <w:numId w:val="1"/>
      </w:numPr>
      <w:suppressAutoHyphens w:val="true"/>
      <w:spacing w:lineRule="auto" w:line="240" w:before="0" w:after="0"/>
      <w:outlineLvl w:val="6"/>
    </w:pPr>
    <w:rPr>
      <w:rFonts w:ascii="Arial" w:hAnsi="Arial" w:eastAsia="Times New Roman" w:cs="Arial"/>
      <w:b/>
      <w:bCs/>
      <w:szCs w:val="24"/>
      <w:lang w:eastAsia="ar-SA"/>
    </w:rPr>
  </w:style>
  <w:style w:type="paragraph" w:styleId="Heading8">
    <w:name w:val="heading 8"/>
    <w:basedOn w:val="Normal"/>
    <w:next w:val="Normal"/>
    <w:link w:val="Ttulo8Char"/>
    <w:qFormat/>
    <w:rsid w:val="002b6b48"/>
    <w:pPr>
      <w:keepNext w:val="true"/>
      <w:numPr>
        <w:ilvl w:val="7"/>
        <w:numId w:val="1"/>
      </w:numPr>
      <w:suppressAutoHyphens w:val="true"/>
      <w:spacing w:lineRule="auto" w:line="240" w:before="0" w:after="0"/>
      <w:ind w:start="720"/>
      <w:outlineLvl w:val="7"/>
    </w:pPr>
    <w:rPr>
      <w:rFonts w:ascii="Arial" w:hAnsi="Arial" w:eastAsia="Times New Roman" w:cs="Arial"/>
      <w:b/>
      <w:bCs/>
      <w:szCs w:val="24"/>
      <w:lang w:eastAsia="ar-SA"/>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uiPriority w:val="99"/>
    <w:qFormat/>
    <w:rsid w:val="00804e73"/>
    <w:rPr/>
  </w:style>
  <w:style w:type="character" w:styleId="RodapChar" w:customStyle="1">
    <w:name w:val="Rodapé Char"/>
    <w:basedOn w:val="DefaultParagraphFont"/>
    <w:uiPriority w:val="99"/>
    <w:qFormat/>
    <w:rsid w:val="00804e73"/>
    <w:rPr/>
  </w:style>
  <w:style w:type="character" w:styleId="TextodebaloChar" w:customStyle="1">
    <w:name w:val="Texto de balão Char"/>
    <w:basedOn w:val="DefaultParagraphFont"/>
    <w:link w:val="BalloonText"/>
    <w:uiPriority w:val="99"/>
    <w:semiHidden/>
    <w:qFormat/>
    <w:rsid w:val="00804e73"/>
    <w:rPr>
      <w:rFonts w:ascii="Tahoma" w:hAnsi="Tahoma" w:cs="Tahoma"/>
      <w:sz w:val="16"/>
      <w:szCs w:val="16"/>
    </w:rPr>
  </w:style>
  <w:style w:type="character" w:styleId="Hyperlink">
    <w:name w:val="Hyperlink"/>
    <w:basedOn w:val="DefaultParagraphFont"/>
    <w:uiPriority w:val="99"/>
    <w:unhideWhenUsed/>
    <w:rsid w:val="00d14573"/>
    <w:rPr>
      <w:color w:themeColor="hyperlink" w:val="0000FF"/>
      <w:u w:val="single"/>
    </w:rPr>
  </w:style>
  <w:style w:type="character" w:styleId="Ttulo1Char" w:customStyle="1">
    <w:name w:val="Título 1 Char"/>
    <w:basedOn w:val="DefaultParagraphFont"/>
    <w:qFormat/>
    <w:rsid w:val="002b6b48"/>
    <w:rPr>
      <w:rFonts w:ascii="Times New Roman" w:hAnsi="Times New Roman" w:eastAsia="Times New Roman" w:cs="Times New Roman"/>
      <w:b/>
      <w:bCs/>
      <w:sz w:val="28"/>
      <w:szCs w:val="24"/>
      <w:lang w:eastAsia="ar-SA"/>
    </w:rPr>
  </w:style>
  <w:style w:type="character" w:styleId="Ttulo2Char" w:customStyle="1">
    <w:name w:val="Título 2 Char"/>
    <w:basedOn w:val="DefaultParagraphFont"/>
    <w:qFormat/>
    <w:rsid w:val="002b6b48"/>
    <w:rPr>
      <w:rFonts w:ascii="Arial" w:hAnsi="Arial" w:eastAsia="Times New Roman" w:cs="Arial"/>
      <w:b/>
      <w:bCs/>
      <w:sz w:val="24"/>
      <w:szCs w:val="24"/>
      <w:lang w:eastAsia="ar-SA"/>
    </w:rPr>
  </w:style>
  <w:style w:type="character" w:styleId="Ttulo3Char" w:customStyle="1">
    <w:name w:val="Título 3 Char"/>
    <w:basedOn w:val="DefaultParagraphFont"/>
    <w:qFormat/>
    <w:rsid w:val="002b6b48"/>
    <w:rPr>
      <w:rFonts w:ascii="Arial" w:hAnsi="Arial" w:eastAsia="Times New Roman" w:cs="Arial"/>
      <w:b/>
      <w:bCs/>
      <w:sz w:val="24"/>
      <w:szCs w:val="24"/>
      <w:lang w:eastAsia="ar-SA"/>
    </w:rPr>
  </w:style>
  <w:style w:type="character" w:styleId="Ttulo4Char" w:customStyle="1">
    <w:name w:val="Título 4 Char"/>
    <w:basedOn w:val="DefaultParagraphFont"/>
    <w:qFormat/>
    <w:rsid w:val="002b6b48"/>
    <w:rPr>
      <w:rFonts w:ascii="Arial" w:hAnsi="Arial" w:eastAsia="Times New Roman" w:cs="Arial"/>
      <w:b/>
      <w:bCs/>
      <w:sz w:val="26"/>
      <w:szCs w:val="24"/>
      <w:lang w:eastAsia="ar-SA"/>
    </w:rPr>
  </w:style>
  <w:style w:type="character" w:styleId="Ttulo5Char" w:customStyle="1">
    <w:name w:val="Título 5 Char"/>
    <w:basedOn w:val="DefaultParagraphFont"/>
    <w:qFormat/>
    <w:rsid w:val="002b6b48"/>
    <w:rPr>
      <w:rFonts w:ascii="Times New Roman" w:hAnsi="Times New Roman" w:eastAsia="Times New Roman" w:cs="Times New Roman"/>
      <w:b/>
      <w:bCs/>
      <w:sz w:val="24"/>
      <w:szCs w:val="24"/>
      <w:lang w:eastAsia="ar-SA"/>
    </w:rPr>
  </w:style>
  <w:style w:type="character" w:styleId="Ttulo6Char" w:customStyle="1">
    <w:name w:val="Título 6 Char"/>
    <w:basedOn w:val="DefaultParagraphFont"/>
    <w:qFormat/>
    <w:rsid w:val="002b6b48"/>
    <w:rPr>
      <w:rFonts w:ascii="Arial" w:hAnsi="Arial" w:eastAsia="Times New Roman" w:cs="Arial"/>
      <w:b/>
      <w:bCs/>
      <w:szCs w:val="24"/>
      <w:lang w:eastAsia="ar-SA"/>
    </w:rPr>
  </w:style>
  <w:style w:type="character" w:styleId="Ttulo7Char" w:customStyle="1">
    <w:name w:val="Título 7 Char"/>
    <w:basedOn w:val="DefaultParagraphFont"/>
    <w:qFormat/>
    <w:rsid w:val="002b6b48"/>
    <w:rPr>
      <w:rFonts w:ascii="Arial" w:hAnsi="Arial" w:eastAsia="Times New Roman" w:cs="Arial"/>
      <w:b/>
      <w:bCs/>
      <w:szCs w:val="24"/>
      <w:lang w:eastAsia="ar-SA"/>
    </w:rPr>
  </w:style>
  <w:style w:type="character" w:styleId="Ttulo8Char" w:customStyle="1">
    <w:name w:val="Título 8 Char"/>
    <w:basedOn w:val="DefaultParagraphFont"/>
    <w:qFormat/>
    <w:rsid w:val="002b6b48"/>
    <w:rPr>
      <w:rFonts w:ascii="Arial" w:hAnsi="Arial" w:eastAsia="Times New Roman" w:cs="Arial"/>
      <w:b/>
      <w:bCs/>
      <w:szCs w:val="24"/>
      <w:lang w:eastAsia="ar-SA"/>
    </w:rPr>
  </w:style>
  <w:style w:type="character" w:styleId="PageNumber">
    <w:name w:val="page number"/>
    <w:basedOn w:val="DefaultParagraphFont"/>
    <w:rsid w:val="002b6b48"/>
    <w:rPr/>
  </w:style>
  <w:style w:type="character" w:styleId="Emphasis">
    <w:name w:val="Emphasis"/>
    <w:basedOn w:val="DefaultParagraphFont"/>
    <w:uiPriority w:val="20"/>
    <w:qFormat/>
    <w:rsid w:val="009116f6"/>
    <w:rPr>
      <w:i/>
      <w:iCs/>
    </w:rPr>
  </w:style>
  <w:style w:type="character" w:styleId="uv3um" w:customStyle="1">
    <w:name w:val="uv3um"/>
    <w:basedOn w:val="DefaultParagraphFont"/>
    <w:qFormat/>
    <w:rsid w:val="00ad4a73"/>
    <w:rPr/>
  </w:style>
  <w:style w:type="character" w:styleId="Strong">
    <w:name w:val="Strong"/>
    <w:basedOn w:val="DefaultParagraphFont"/>
    <w:uiPriority w:val="22"/>
    <w:qFormat/>
    <w:rsid w:val="00915f08"/>
    <w:rPr>
      <w:b/>
      <w:bCs/>
    </w:rPr>
  </w:style>
  <w:style w:type="character" w:styleId="LineNumber">
    <w:name w:val="line number"/>
    <w:basedOn w:val="DefaultParagraphFont"/>
    <w:uiPriority w:val="99"/>
    <w:semiHidden/>
    <w:unhideWhenUsed/>
    <w:rsid w:val="008a5040"/>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abealhoerodap">
    <w:name w:val="Cabeçalho e rodapé"/>
    <w:basedOn w:val="Normal"/>
    <w:qFormat/>
    <w:pPr/>
    <w:rPr/>
  </w:style>
  <w:style w:type="paragraph" w:styleId="Header">
    <w:name w:val="header"/>
    <w:basedOn w:val="Normal"/>
    <w:link w:val="CabealhoChar"/>
    <w:uiPriority w:val="99"/>
    <w:unhideWhenUsed/>
    <w:rsid w:val="00804e73"/>
    <w:pPr>
      <w:tabs>
        <w:tab w:val="clear" w:pos="907"/>
        <w:tab w:val="center" w:pos="4252" w:leader="none"/>
        <w:tab w:val="right" w:pos="8504" w:leader="none"/>
      </w:tabs>
      <w:spacing w:lineRule="auto" w:line="240" w:before="0" w:after="0"/>
    </w:pPr>
    <w:rPr/>
  </w:style>
  <w:style w:type="paragraph" w:styleId="Footer">
    <w:name w:val="footer"/>
    <w:basedOn w:val="Normal"/>
    <w:link w:val="RodapChar"/>
    <w:uiPriority w:val="99"/>
    <w:unhideWhenUsed/>
    <w:rsid w:val="00804e73"/>
    <w:pPr>
      <w:tabs>
        <w:tab w:val="clear" w:pos="907"/>
        <w:tab w:val="center" w:pos="4252" w:leader="none"/>
        <w:tab w:val="right" w:pos="8504" w:leader="none"/>
      </w:tabs>
      <w:spacing w:lineRule="auto" w:line="240" w:before="0" w:after="0"/>
    </w:pPr>
    <w:rPr/>
  </w:style>
  <w:style w:type="paragraph" w:styleId="BalloonText">
    <w:name w:val="Balloon Text"/>
    <w:basedOn w:val="Normal"/>
    <w:link w:val="TextodebaloChar"/>
    <w:uiPriority w:val="99"/>
    <w:semiHidden/>
    <w:unhideWhenUsed/>
    <w:qFormat/>
    <w:rsid w:val="00804e73"/>
    <w:pPr>
      <w:spacing w:lineRule="auto" w:line="240" w:before="0" w:after="0"/>
    </w:pPr>
    <w:rPr>
      <w:rFonts w:ascii="Tahoma" w:hAnsi="Tahoma" w:cs="Tahoma"/>
      <w:sz w:val="16"/>
      <w:szCs w:val="16"/>
    </w:rPr>
  </w:style>
  <w:style w:type="paragraph" w:styleId="TOC1">
    <w:name w:val="toc 1"/>
    <w:basedOn w:val="Normal"/>
    <w:next w:val="Normal"/>
    <w:autoRedefine/>
    <w:uiPriority w:val="39"/>
    <w:rsid w:val="002b6b48"/>
    <w:pPr>
      <w:tabs>
        <w:tab w:val="clear" w:pos="907"/>
        <w:tab w:val="right" w:pos="8931" w:leader="dot"/>
      </w:tabs>
      <w:suppressAutoHyphens w:val="true"/>
      <w:spacing w:lineRule="auto" w:line="480" w:before="0" w:after="0"/>
    </w:pPr>
    <w:rPr>
      <w:rFonts w:ascii="Times New Roman" w:hAnsi="Times New Roman" w:eastAsia="Times New Roman" w:cs="Times New Roman"/>
      <w:sz w:val="24"/>
      <w:szCs w:val="24"/>
      <w:lang w:eastAsia="ar-SA"/>
    </w:rPr>
  </w:style>
  <w:style w:type="paragraph" w:styleId="ListParagraph">
    <w:name w:val="List Paragraph"/>
    <w:basedOn w:val="Normal"/>
    <w:uiPriority w:val="34"/>
    <w:qFormat/>
    <w:rsid w:val="00ee7534"/>
    <w:pPr>
      <w:spacing w:before="0" w:after="200"/>
      <w:ind w:start="720"/>
      <w:contextualSpacing/>
    </w:pPr>
    <w:rPr/>
  </w:style>
  <w:style w:type="paragraph" w:styleId="Corpodetextobt3" w:customStyle="1">
    <w:name w:val="Corpo de texto.bt3"/>
    <w:basedOn w:val="Normal"/>
    <w:uiPriority w:val="99"/>
    <w:qFormat/>
    <w:rsid w:val="0027709c"/>
    <w:pPr>
      <w:widowControl w:val="false"/>
      <w:spacing w:lineRule="auto" w:line="240" w:before="0" w:after="0"/>
      <w:jc w:val="both"/>
    </w:pPr>
    <w:rPr>
      <w:rFonts w:ascii="Arial" w:hAnsi="Arial" w:eastAsia="Times New Roman" w:cs="Arial"/>
      <w:sz w:val="20"/>
      <w:szCs w:val="20"/>
      <w:lang w:eastAsia="pt-BR"/>
    </w:rPr>
  </w:style>
  <w:style w:type="paragraph" w:styleId="IndexHeading">
    <w:name w:val="index heading"/>
    <w:basedOn w:val="Ttulo"/>
    <w:pPr/>
    <w:rPr/>
  </w:style>
  <w:style w:type="paragraph" w:styleId="TOCHeading">
    <w:name w:val="TOC Heading"/>
    <w:basedOn w:val="Heading1"/>
    <w:next w:val="Normal"/>
    <w:uiPriority w:val="39"/>
    <w:semiHidden/>
    <w:unhideWhenUsed/>
    <w:qFormat/>
    <w:rsid w:val="00ce17d2"/>
    <w:pPr>
      <w:keepLines/>
      <w:numPr>
        <w:ilvl w:val="0"/>
        <w:numId w:val="0"/>
      </w:numPr>
      <w:suppressAutoHyphens w:val="false"/>
      <w:spacing w:lineRule="auto" w:line="276" w:before="240" w:after="0"/>
      <w:jc w:val="start"/>
      <w:outlineLvl w:val="9"/>
    </w:pPr>
    <w:rPr>
      <w:rFonts w:ascii="Cambria" w:hAnsi="Cambria" w:eastAsia="" w:cs="" w:asciiTheme="majorHAnsi" w:cstheme="majorBidi" w:eastAsiaTheme="majorEastAsia" w:hAnsiTheme="majorHAnsi"/>
      <w:b w:val="false"/>
      <w:bCs w:val="false"/>
      <w:color w:themeColor="accent1" w:themeShade="bf" w:val="365F91"/>
      <w:sz w:val="32"/>
      <w:szCs w:val="32"/>
      <w:lang w:eastAsia="en-US"/>
    </w:rPr>
  </w:style>
  <w:style w:type="paragraph" w:styleId="NormalWeb">
    <w:name w:val="Normal (Web)"/>
    <w:basedOn w:val="Normal"/>
    <w:uiPriority w:val="99"/>
    <w:semiHidden/>
    <w:unhideWhenUsed/>
    <w:qFormat/>
    <w:rsid w:val="00617845"/>
    <w:pPr/>
    <w:rPr>
      <w:rFonts w:ascii="Times New Roman" w:hAnsi="Times New Roman" w:cs="Times New Roman"/>
      <w:sz w:val="24"/>
      <w:szCs w:val="24"/>
    </w:rPr>
  </w:style>
  <w:style w:type="paragraph" w:styleId="textoalinhadoesquerdaespacamentosimples" w:customStyle="1">
    <w:name w:val="texto_alinhado_esquerda_espacamento_simples"/>
    <w:basedOn w:val="Normal"/>
    <w:qFormat/>
    <w:rsid w:val="00fc32df"/>
    <w:pPr>
      <w:spacing w:lineRule="auto" w:line="240" w:beforeAutospacing="1" w:afterAutospacing="1"/>
    </w:pPr>
    <w:rPr>
      <w:rFonts w:ascii="Times New Roman" w:hAnsi="Times New Roman" w:eastAsia="Times New Roman" w:cs="Times New Roman"/>
      <w:sz w:val="24"/>
      <w:szCs w:val="24"/>
      <w:lang w:eastAsia="pt-BR"/>
    </w:rPr>
  </w:style>
  <w:style w:type="paragraph" w:styleId="Contedodoquadro">
    <w:name w:val="Conteúdo do quadro"/>
    <w:basedOn w:val="Normal"/>
    <w:qFormat/>
    <w:pPr/>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59"/>
    <w:rsid w:val="00804e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Mdia2-nfase1">
    <w:name w:val="Medium List 2 Accent 1"/>
    <w:basedOn w:val="Tabelanormal"/>
    <w:uiPriority w:val="66"/>
    <w:rsid w:val="002b3441"/>
    <w:pPr>
      <w:spacing w:after="0" w:line="240" w:lineRule="auto"/>
    </w:pPr>
    <w:rPr>
      <w:rFonts w:asciiTheme="majorHAnsi" w:hAnsiTheme="majorHAnsi" w:eastAsiaTheme="majorEastAsia" w:cstheme="majorBidi"/>
      <w:color w:val="000000" w:themeColor="text1"/>
      <w:lang w:eastAsia="pt-BR"/>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deGrade4-nfase31">
    <w:name w:val="Tabela de Grade 4 - Ênfase 31"/>
    <w:basedOn w:val="Tabelanormal"/>
    <w:uiPriority w:val="49"/>
    <w:rsid w:val="00735042"/>
    <w:pPr>
      <w:spacing w:after="0" w:line="240" w:lineRule="auto"/>
    </w:p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insideV w:val="nil"/>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Grade5Escura-nfase31">
    <w:name w:val="Tabela de Grade 5 Escura - Ênfase 31"/>
    <w:basedOn w:val="Tabelanormal"/>
    <w:uiPriority w:val="50"/>
    <w:rsid w:val="002464e1"/>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1D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BB5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BB5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BB5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adeLista3-nfase31">
    <w:name w:val="Tabela de Lista 3 - Ênfase 31"/>
    <w:basedOn w:val="Tabelanormal"/>
    <w:uiPriority w:val="48"/>
    <w:rsid w:val="00940036"/>
    <w:pPr>
      <w:spacing w:after="0" w:line="240" w:lineRule="auto"/>
    </w:p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val="ffffff" w:themeColor="background1"/>
      </w:rPr>
      <w:tblPr/>
      <w:tcPr>
        <w:shd w:val="clear" w:color="auto" w:fill="9BBB59" w:themeFill="accent3"/>
      </w:tcPr>
    </w:tblStylePr>
    <w:tblStylePr w:type="lastRow">
      <w:rPr>
        <w:b/>
        <w:bCs/>
      </w:rPr>
      <w:tblPr/>
      <w:tcPr>
        <w:tcBorders>
          <w:top w:val="double" w:color="9BBB5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BB59" w:themeColor="accent3" w:sz="4" w:space="0"/>
          <w:right w:val="single" w:color="9BBB59" w:themeColor="accent3" w:sz="4" w:space="0"/>
        </w:tcBorders>
      </w:tcPr>
    </w:tblStylePr>
    <w:tblStylePr w:type="band1Horz">
      <w:tblPr/>
      <w:tcPr>
        <w:tcBorders>
          <w:top w:val="single" w:color="9BBB59" w:themeColor="accent3" w:sz="4" w:space="0"/>
          <w:bottom w:val="single" w:color="9BBB5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BB59" w:themeColor="accent3" w:sz="4" w:space="0"/>
          <w:left w:val="nil"/>
        </w:tcBorders>
      </w:tcPr>
    </w:tblStylePr>
    <w:tblStylePr w:type="swCell">
      <w:tblPr/>
      <w:tcPr>
        <w:tcBorders>
          <w:top w:val="double" w:color="9BBB59" w:themeColor="accent3" w:sz="4" w:space="0"/>
          <w:right w:val="nil"/>
        </w:tcBorders>
      </w:tcPr>
    </w:tblStylePr>
  </w:style>
  <w:style w:type="table" w:customStyle="1" w:styleId="TabeladeLista4-nfase31">
    <w:name w:val="Tabela de Lista 4 - Ênfase 31"/>
    <w:basedOn w:val="Tabelanormal"/>
    <w:uiPriority w:val="49"/>
    <w:rsid w:val="00f96a98"/>
    <w:pPr>
      <w:spacing w:after="0" w:line="240" w:lineRule="auto"/>
    </w:p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tcBorders>
        <w:shd w:val="clear" w:color="auto" w:fill="9BBB59" w:themeFill="accent3"/>
      </w:tcPr>
    </w:tblStylePr>
    <w:tblStylePr w:type="lastRow">
      <w:rPr>
        <w:b/>
        <w:bCs/>
      </w:rPr>
      <w:tblPr/>
      <w:tcPr>
        <w:tcBorders>
          <w:top w:val="double" w:color="C2D69B"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image" Target="media/image7.png"/><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8.png"/><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9.xml"/><Relationship Id="rId26" Type="http://schemas.openxmlformats.org/officeDocument/2006/relationships/footer" Target="footer10.xml"/><Relationship Id="rId27" Type="http://schemas.openxmlformats.org/officeDocument/2006/relationships/image" Target="media/image9.png"/><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image" Target="media/image10.png"/><Relationship Id="rId33" Type="http://schemas.openxmlformats.org/officeDocument/2006/relationships/header" Target="header12.xml"/><Relationship Id="rId34" Type="http://schemas.openxmlformats.org/officeDocument/2006/relationships/header" Target="header13.xml"/><Relationship Id="rId35" Type="http://schemas.openxmlformats.org/officeDocument/2006/relationships/footer" Target="footer13.xml"/><Relationship Id="rId36" Type="http://schemas.openxmlformats.org/officeDocument/2006/relationships/footer" Target="footer14.xml"/><Relationship Id="rId37" Type="http://schemas.openxmlformats.org/officeDocument/2006/relationships/header" Target="header14.xml"/><Relationship Id="rId38" Type="http://schemas.openxmlformats.org/officeDocument/2006/relationships/header" Target="header15.xml"/><Relationship Id="rId39" Type="http://schemas.openxmlformats.org/officeDocument/2006/relationships/footer" Target="footer15.xml"/><Relationship Id="rId40" Type="http://schemas.openxmlformats.org/officeDocument/2006/relationships/footer" Target="footer16.xml"/><Relationship Id="rId41" Type="http://schemas.openxmlformats.org/officeDocument/2006/relationships/image" Target="media/image11.png"/><Relationship Id="rId42" Type="http://schemas.openxmlformats.org/officeDocument/2006/relationships/image" Target="media/image12.png"/><Relationship Id="rId43" Type="http://schemas.openxmlformats.org/officeDocument/2006/relationships/image" Target="media/image13.png"/><Relationship Id="rId44" Type="http://schemas.openxmlformats.org/officeDocument/2006/relationships/image" Target="media/image14.png"/><Relationship Id="rId45" Type="http://schemas.openxmlformats.org/officeDocument/2006/relationships/image" Target="media/image15.png"/><Relationship Id="rId46" Type="http://schemas.openxmlformats.org/officeDocument/2006/relationships/image" Target="media/image16.png"/><Relationship Id="rId47" Type="http://schemas.openxmlformats.org/officeDocument/2006/relationships/image" Target="media/image17.png"/><Relationship Id="rId48" Type="http://schemas.openxmlformats.org/officeDocument/2006/relationships/image" Target="media/image18.png"/><Relationship Id="rId49" Type="http://schemas.openxmlformats.org/officeDocument/2006/relationships/image" Target="media/image19.png"/><Relationship Id="rId50" Type="http://schemas.openxmlformats.org/officeDocument/2006/relationships/image" Target="media/image20.png"/><Relationship Id="rId51" Type="http://schemas.openxmlformats.org/officeDocument/2006/relationships/image" Target="media/image21.png"/><Relationship Id="rId52" Type="http://schemas.openxmlformats.org/officeDocument/2006/relationships/image" Target="media/image22.png"/><Relationship Id="rId53" Type="http://schemas.openxmlformats.org/officeDocument/2006/relationships/image" Target="media/image23.png"/><Relationship Id="rId54" Type="http://schemas.openxmlformats.org/officeDocument/2006/relationships/image" Target="media/image24.png"/><Relationship Id="rId55" Type="http://schemas.openxmlformats.org/officeDocument/2006/relationships/header" Target="header16.xml"/><Relationship Id="rId56" Type="http://schemas.openxmlformats.org/officeDocument/2006/relationships/header" Target="header17.xml"/><Relationship Id="rId57" Type="http://schemas.openxmlformats.org/officeDocument/2006/relationships/footer" Target="footer17.xml"/><Relationship Id="rId58" Type="http://schemas.openxmlformats.org/officeDocument/2006/relationships/footer" Target="footer18.xml"/><Relationship Id="rId59" Type="http://schemas.openxmlformats.org/officeDocument/2006/relationships/image" Target="media/image25.png"/><Relationship Id="rId60" Type="http://schemas.openxmlformats.org/officeDocument/2006/relationships/header" Target="header18.xml"/><Relationship Id="rId61" Type="http://schemas.openxmlformats.org/officeDocument/2006/relationships/header" Target="header19.xml"/><Relationship Id="rId62" Type="http://schemas.openxmlformats.org/officeDocument/2006/relationships/footer" Target="footer19.xml"/><Relationship Id="rId63" Type="http://schemas.openxmlformats.org/officeDocument/2006/relationships/footer" Target="footer20.xml"/><Relationship Id="rId64" Type="http://schemas.openxmlformats.org/officeDocument/2006/relationships/image" Target="media/image26.png"/><Relationship Id="rId65" Type="http://schemas.openxmlformats.org/officeDocument/2006/relationships/image" Target="media/image27.png"/><Relationship Id="rId66" Type="http://schemas.openxmlformats.org/officeDocument/2006/relationships/image" Target="media/image28.png"/><Relationship Id="rId67" Type="http://schemas.openxmlformats.org/officeDocument/2006/relationships/image" Target="media/image29.png"/><Relationship Id="rId68" Type="http://schemas.openxmlformats.org/officeDocument/2006/relationships/image" Target="media/image30.png"/><Relationship Id="rId69" Type="http://schemas.openxmlformats.org/officeDocument/2006/relationships/image" Target="media/image31.png"/><Relationship Id="rId70" Type="http://schemas.openxmlformats.org/officeDocument/2006/relationships/hyperlink" Target="http://www.imbel.gov.br/index.php/termos-de-" TargetMode="External"/><Relationship Id="rId71" Type="http://schemas.openxmlformats.org/officeDocument/2006/relationships/hyperlink" Target="http://www.imbel.gov.br/index.php/termos-de-" TargetMode="External"/><Relationship Id="rId72" Type="http://schemas.openxmlformats.org/officeDocument/2006/relationships/image" Target="media/image32.png"/><Relationship Id="rId73" Type="http://schemas.openxmlformats.org/officeDocument/2006/relationships/image" Target="media/image33.png"/><Relationship Id="rId74" Type="http://schemas.openxmlformats.org/officeDocument/2006/relationships/image" Target="media/image34.png"/><Relationship Id="rId75" Type="http://schemas.openxmlformats.org/officeDocument/2006/relationships/image" Target="media/image35.png"/><Relationship Id="rId76" Type="http://schemas.openxmlformats.org/officeDocument/2006/relationships/image" Target="media/image36.png"/><Relationship Id="rId77" Type="http://schemas.openxmlformats.org/officeDocument/2006/relationships/image" Target="media/image37.png"/><Relationship Id="rId78" Type="http://schemas.openxmlformats.org/officeDocument/2006/relationships/image" Target="media/image38.png"/><Relationship Id="rId79" Type="http://schemas.openxmlformats.org/officeDocument/2006/relationships/image" Target="media/image39.png"/><Relationship Id="rId80" Type="http://schemas.openxmlformats.org/officeDocument/2006/relationships/image" Target="media/image40.png"/><Relationship Id="rId81" Type="http://schemas.openxmlformats.org/officeDocument/2006/relationships/image" Target="media/image41.png"/><Relationship Id="rId82" Type="http://schemas.openxmlformats.org/officeDocument/2006/relationships/image" Target="media/image42.png"/><Relationship Id="rId83" Type="http://schemas.openxmlformats.org/officeDocument/2006/relationships/image" Target="media/image43.png"/><Relationship Id="rId84" Type="http://schemas.openxmlformats.org/officeDocument/2006/relationships/image" Target="media/image44.png"/><Relationship Id="rId85" Type="http://schemas.openxmlformats.org/officeDocument/2006/relationships/image" Target="media/image45.png"/><Relationship Id="rId86" Type="http://schemas.openxmlformats.org/officeDocument/2006/relationships/image" Target="media/image46.png"/><Relationship Id="rId87" Type="http://schemas.openxmlformats.org/officeDocument/2006/relationships/image" Target="media/image47.png"/><Relationship Id="rId88" Type="http://schemas.openxmlformats.org/officeDocument/2006/relationships/image" Target="media/image48.png"/><Relationship Id="rId89" Type="http://schemas.openxmlformats.org/officeDocument/2006/relationships/image" Target="media/image49.png"/><Relationship Id="rId90" Type="http://schemas.openxmlformats.org/officeDocument/2006/relationships/image" Target="media/image50.png"/><Relationship Id="rId91" Type="http://schemas.openxmlformats.org/officeDocument/2006/relationships/image" Target="media/image51.png"/><Relationship Id="rId92" Type="http://schemas.openxmlformats.org/officeDocument/2006/relationships/image" Target="media/image52.png"/><Relationship Id="rId93" Type="http://schemas.openxmlformats.org/officeDocument/2006/relationships/image" Target="media/image53.png"/><Relationship Id="rId94" Type="http://schemas.openxmlformats.org/officeDocument/2006/relationships/image" Target="media/image54.png"/><Relationship Id="rId95" Type="http://schemas.openxmlformats.org/officeDocument/2006/relationships/image" Target="media/image55.png"/><Relationship Id="rId96" Type="http://schemas.openxmlformats.org/officeDocument/2006/relationships/image" Target="media/image56.png"/><Relationship Id="rId97" Type="http://schemas.openxmlformats.org/officeDocument/2006/relationships/image" Target="media/image57.png"/><Relationship Id="rId98" Type="http://schemas.openxmlformats.org/officeDocument/2006/relationships/image" Target="media/image58.png"/><Relationship Id="rId99" Type="http://schemas.openxmlformats.org/officeDocument/2006/relationships/image" Target="media/image59.png"/><Relationship Id="rId100" Type="http://schemas.openxmlformats.org/officeDocument/2006/relationships/image" Target="media/image60.png"/><Relationship Id="rId101" Type="http://schemas.openxmlformats.org/officeDocument/2006/relationships/image" Target="media/image61.png"/><Relationship Id="rId102" Type="http://schemas.openxmlformats.org/officeDocument/2006/relationships/image" Target="media/image62.png"/><Relationship Id="rId103" Type="http://schemas.openxmlformats.org/officeDocument/2006/relationships/image" Target="media/image63.png"/><Relationship Id="rId104" Type="http://schemas.openxmlformats.org/officeDocument/2006/relationships/image" Target="media/image64.png"/><Relationship Id="rId105" Type="http://schemas.openxmlformats.org/officeDocument/2006/relationships/image" Target="media/image65.png"/><Relationship Id="rId106" Type="http://schemas.openxmlformats.org/officeDocument/2006/relationships/image" Target="media/image66.png"/><Relationship Id="rId107" Type="http://schemas.openxmlformats.org/officeDocument/2006/relationships/image" Target="media/image67.png"/><Relationship Id="rId108" Type="http://schemas.openxmlformats.org/officeDocument/2006/relationships/image" Target="media/image68.png"/><Relationship Id="rId109" Type="http://schemas.openxmlformats.org/officeDocument/2006/relationships/image" Target="media/image69.png"/><Relationship Id="rId110" Type="http://schemas.openxmlformats.org/officeDocument/2006/relationships/image" Target="media/image70.png"/><Relationship Id="rId111" Type="http://schemas.openxmlformats.org/officeDocument/2006/relationships/image" Target="media/image71.png"/><Relationship Id="rId112" Type="http://schemas.openxmlformats.org/officeDocument/2006/relationships/image" Target="media/image72.png"/><Relationship Id="rId113" Type="http://schemas.openxmlformats.org/officeDocument/2006/relationships/image" Target="media/image73.png"/><Relationship Id="rId114" Type="http://schemas.openxmlformats.org/officeDocument/2006/relationships/image" Target="media/image74.png"/><Relationship Id="rId115" Type="http://schemas.openxmlformats.org/officeDocument/2006/relationships/header" Target="header20.xml"/><Relationship Id="rId116" Type="http://schemas.openxmlformats.org/officeDocument/2006/relationships/header" Target="header21.xml"/><Relationship Id="rId117" Type="http://schemas.openxmlformats.org/officeDocument/2006/relationships/footer" Target="footer21.xml"/><Relationship Id="rId118" Type="http://schemas.openxmlformats.org/officeDocument/2006/relationships/footer" Target="footer22.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Relationship Id="rId123"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3.xml.rels><?xml version="1.0" encoding="UTF-8"?>
<Relationships xmlns="http://schemas.openxmlformats.org/package/2006/relationships"><Relationship Id="rId1" Type="http://schemas.openxmlformats.org/officeDocument/2006/relationships/image" Target="media/image3.png"/>
</Relationships>
</file>

<file path=word/_rels/header4.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6.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8.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10.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12.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14.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16.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18.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_rels/header20.xml.rels><?xml version="1.0" encoding="UTF-8"?>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597D8-4F71-4E53-A534-E7B32F00C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Application>LibreOffice/26.2.2.2$Windows_X86_64 LibreOffice_project/1f77d10d6938fd34972958f64b2bcfa54f8b1ba5</Application>
  <AppVersion>15.0000</AppVersion>
  <Pages>39</Pages>
  <Words>9593</Words>
  <Characters>53259</Characters>
  <CharactersWithSpaces>74711</CharactersWithSpaces>
  <Paragraphs>683</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2026-05-04T15:49:00Z</dcterms:created>
  <dc:creator>acicoord1</dc:creator>
  <dc:description/>
  <dc:language>pt-BR</dc:language>
  <cp:lastModifiedBy>dradm02</cp:lastModifiedBy>
  <cp:lastPrinted>2026-05-15T12:43:00Z</cp:lastPrinted>
  <dcterms:modified xsi:type="dcterms:W3CDTF">2026-06-11T18:14:00Z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